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0A" w:rsidRDefault="002D140A" w:rsidP="002D140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4030" cy="66230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0A" w:rsidRDefault="002D140A" w:rsidP="002D140A">
      <w:pPr>
        <w:rPr>
          <w:b/>
        </w:rPr>
      </w:pPr>
    </w:p>
    <w:p w:rsidR="002D140A" w:rsidRDefault="002D140A" w:rsidP="002D140A">
      <w:pPr>
        <w:rPr>
          <w:sz w:val="12"/>
        </w:rPr>
      </w:pPr>
    </w:p>
    <w:p w:rsidR="002D140A" w:rsidRDefault="002D140A" w:rsidP="002D140A">
      <w:pPr>
        <w:pStyle w:val="2"/>
        <w:rPr>
          <w:sz w:val="16"/>
        </w:rPr>
      </w:pPr>
      <w:r>
        <w:rPr>
          <w:spacing w:val="26"/>
          <w:sz w:val="28"/>
          <w:szCs w:val="28"/>
        </w:rPr>
        <w:t>РЕСПУБЛИКА КАРЕЛИЯ</w:t>
      </w:r>
    </w:p>
    <w:p w:rsidR="002D140A" w:rsidRDefault="002D140A" w:rsidP="002D140A">
      <w:pPr>
        <w:jc w:val="center"/>
        <w:rPr>
          <w:sz w:val="16"/>
        </w:rPr>
      </w:pPr>
    </w:p>
    <w:p w:rsidR="002D140A" w:rsidRDefault="002D140A" w:rsidP="002D140A">
      <w:pPr>
        <w:pStyle w:val="2"/>
        <w:rPr>
          <w:b w:val="0"/>
          <w:bCs w:val="0"/>
        </w:rPr>
      </w:pPr>
    </w:p>
    <w:p w:rsidR="002D140A" w:rsidRDefault="002D140A" w:rsidP="002D140A">
      <w:pPr>
        <w:pStyle w:val="2"/>
        <w:rPr>
          <w:sz w:val="32"/>
          <w:szCs w:val="32"/>
        </w:rPr>
      </w:pPr>
      <w:r>
        <w:rPr>
          <w:bCs w:val="0"/>
          <w:sz w:val="32"/>
          <w:szCs w:val="32"/>
        </w:rPr>
        <w:t>Контрольно-счетный комитет Сегежского муниципального района</w:t>
      </w:r>
    </w:p>
    <w:p w:rsidR="002D140A" w:rsidRDefault="002D140A" w:rsidP="002D140A">
      <w:pPr>
        <w:rPr>
          <w:sz w:val="32"/>
          <w:szCs w:val="32"/>
        </w:rPr>
      </w:pPr>
    </w:p>
    <w:p w:rsidR="002D140A" w:rsidRDefault="002D140A" w:rsidP="002D140A">
      <w:pPr>
        <w:jc w:val="center"/>
      </w:pPr>
      <w:r>
        <w:t>ул.Ленина ,д.9-а, г.Сегежа, 186420</w:t>
      </w:r>
    </w:p>
    <w:p w:rsidR="002D140A" w:rsidRDefault="002D140A" w:rsidP="002D140A">
      <w:pPr>
        <w:jc w:val="center"/>
      </w:pPr>
      <w:r>
        <w:t>тел.(8-814 31) 4-35-73,факс (8-814 31) 4-24-24</w:t>
      </w:r>
    </w:p>
    <w:p w:rsidR="002D140A" w:rsidRDefault="002D140A" w:rsidP="002D140A">
      <w:pPr>
        <w:jc w:val="center"/>
      </w:pPr>
      <w:r>
        <w:t>ОКПО 24806274, ОГРН 1141032000823</w:t>
      </w:r>
    </w:p>
    <w:p w:rsidR="002D140A" w:rsidRDefault="002D140A" w:rsidP="002D140A">
      <w:pPr>
        <w:jc w:val="center"/>
      </w:pPr>
      <w:r>
        <w:t>ИНН/КПП 1006013047/100601001</w:t>
      </w:r>
    </w:p>
    <w:p w:rsidR="00BE44FA" w:rsidRDefault="00BE44FA" w:rsidP="002D140A">
      <w:r>
        <w:t xml:space="preserve">                               </w:t>
      </w:r>
    </w:p>
    <w:p w:rsidR="00BE44FA" w:rsidRDefault="00BE44FA" w:rsidP="002D140A"/>
    <w:p w:rsidR="00BE44FA" w:rsidRDefault="00BE44FA" w:rsidP="002D140A">
      <w:r>
        <w:t xml:space="preserve">                                                                                                         УТВЕРЖДЕН</w:t>
      </w:r>
    </w:p>
    <w:p w:rsidR="00BE44FA" w:rsidRDefault="00BE44FA" w:rsidP="002D140A">
      <w:r>
        <w:t xml:space="preserve">                                                                                       Постановлением Контрольно-счетного</w:t>
      </w:r>
    </w:p>
    <w:p w:rsidR="00BE44FA" w:rsidRDefault="00BE44FA" w:rsidP="002D140A">
      <w:r>
        <w:t xml:space="preserve">                                                                                       комитета Сегежского муниципального</w:t>
      </w:r>
    </w:p>
    <w:p w:rsidR="00BE44FA" w:rsidRDefault="00BE44FA" w:rsidP="002D140A">
      <w:r>
        <w:t xml:space="preserve">                                                                                       района от 11 апреля 2018г. №14</w:t>
      </w:r>
    </w:p>
    <w:p w:rsidR="00D43077" w:rsidRDefault="00D43077" w:rsidP="00D43077">
      <w:pPr>
        <w:tabs>
          <w:tab w:val="left" w:pos="2676"/>
        </w:tabs>
        <w:jc w:val="right"/>
        <w:rPr>
          <w:sz w:val="26"/>
          <w:szCs w:val="26"/>
        </w:rPr>
      </w:pPr>
    </w:p>
    <w:p w:rsidR="00BE44FA" w:rsidRPr="00B57705" w:rsidRDefault="00BE44FA" w:rsidP="00D43077">
      <w:pPr>
        <w:tabs>
          <w:tab w:val="left" w:pos="2676"/>
        </w:tabs>
        <w:jc w:val="right"/>
        <w:rPr>
          <w:sz w:val="26"/>
          <w:szCs w:val="26"/>
        </w:rPr>
      </w:pPr>
    </w:p>
    <w:p w:rsidR="00D43077" w:rsidRPr="00462C4A" w:rsidRDefault="00D43077" w:rsidP="00D43077">
      <w:pPr>
        <w:tabs>
          <w:tab w:val="left" w:pos="2676"/>
        </w:tabs>
        <w:jc w:val="center"/>
        <w:rPr>
          <w:b/>
          <w:sz w:val="26"/>
          <w:szCs w:val="26"/>
        </w:rPr>
      </w:pPr>
      <w:r w:rsidRPr="00462C4A">
        <w:rPr>
          <w:b/>
          <w:sz w:val="26"/>
          <w:szCs w:val="26"/>
        </w:rPr>
        <w:t>ОТЧЕТ</w:t>
      </w:r>
    </w:p>
    <w:p w:rsidR="00D43077" w:rsidRPr="00462C4A" w:rsidRDefault="00D43077" w:rsidP="00D43077">
      <w:pPr>
        <w:tabs>
          <w:tab w:val="left" w:pos="2676"/>
        </w:tabs>
        <w:jc w:val="center"/>
        <w:rPr>
          <w:b/>
          <w:sz w:val="26"/>
          <w:szCs w:val="26"/>
        </w:rPr>
      </w:pPr>
      <w:r w:rsidRPr="00462C4A">
        <w:rPr>
          <w:b/>
          <w:sz w:val="26"/>
          <w:szCs w:val="26"/>
        </w:rPr>
        <w:t>о результатах контрольного мероприятия</w:t>
      </w:r>
    </w:p>
    <w:p w:rsidR="00D43077" w:rsidRPr="00462C4A" w:rsidRDefault="00D43077" w:rsidP="00D43077">
      <w:pPr>
        <w:tabs>
          <w:tab w:val="left" w:pos="2676"/>
        </w:tabs>
        <w:jc w:val="both"/>
        <w:rPr>
          <w:sz w:val="26"/>
          <w:szCs w:val="26"/>
        </w:rPr>
      </w:pPr>
      <w:r w:rsidRPr="00462C4A">
        <w:rPr>
          <w:b/>
          <w:sz w:val="26"/>
          <w:szCs w:val="26"/>
        </w:rPr>
        <w:t>№__</w:t>
      </w:r>
      <w:r w:rsidR="00462C4A" w:rsidRPr="00A90A2C">
        <w:rPr>
          <w:b/>
          <w:u w:val="single"/>
        </w:rPr>
        <w:t>0</w:t>
      </w:r>
      <w:r w:rsidR="00B57705" w:rsidRPr="00A90A2C">
        <w:rPr>
          <w:b/>
          <w:u w:val="single"/>
        </w:rPr>
        <w:t>3</w:t>
      </w:r>
      <w:r w:rsidRPr="00462C4A">
        <w:rPr>
          <w:b/>
          <w:sz w:val="26"/>
          <w:szCs w:val="26"/>
        </w:rPr>
        <w:t>_______                                                                           дата</w:t>
      </w:r>
      <w:r w:rsidR="00462C4A">
        <w:rPr>
          <w:b/>
          <w:sz w:val="26"/>
          <w:szCs w:val="26"/>
        </w:rPr>
        <w:t xml:space="preserve">    </w:t>
      </w:r>
      <w:r w:rsidRPr="00462C4A">
        <w:rPr>
          <w:b/>
          <w:sz w:val="26"/>
          <w:szCs w:val="26"/>
        </w:rPr>
        <w:t>_</w:t>
      </w:r>
      <w:r w:rsidR="005B08AD" w:rsidRPr="00A90A2C">
        <w:rPr>
          <w:b/>
          <w:u w:val="single"/>
        </w:rPr>
        <w:t>1</w:t>
      </w:r>
      <w:r w:rsidR="00B57705" w:rsidRPr="00A90A2C">
        <w:rPr>
          <w:b/>
          <w:u w:val="single"/>
        </w:rPr>
        <w:t>1</w:t>
      </w:r>
      <w:r w:rsidR="00462C4A" w:rsidRPr="00A90A2C">
        <w:rPr>
          <w:b/>
          <w:u w:val="single"/>
        </w:rPr>
        <w:t>.0</w:t>
      </w:r>
      <w:r w:rsidR="005B08AD" w:rsidRPr="00A90A2C">
        <w:rPr>
          <w:b/>
          <w:u w:val="single"/>
        </w:rPr>
        <w:t>4</w:t>
      </w:r>
      <w:r w:rsidR="00462C4A" w:rsidRPr="00A90A2C">
        <w:rPr>
          <w:b/>
          <w:u w:val="single"/>
        </w:rPr>
        <w:t>.201</w:t>
      </w:r>
      <w:r w:rsidR="005B08AD" w:rsidRPr="00A90A2C">
        <w:rPr>
          <w:b/>
          <w:u w:val="single"/>
        </w:rPr>
        <w:t>8</w:t>
      </w:r>
      <w:r w:rsidRPr="006A4602">
        <w:t>___</w:t>
      </w:r>
    </w:p>
    <w:p w:rsidR="00D43077" w:rsidRPr="00462C4A" w:rsidRDefault="00D43077" w:rsidP="00D43077">
      <w:pPr>
        <w:tabs>
          <w:tab w:val="left" w:pos="2676"/>
        </w:tabs>
        <w:jc w:val="both"/>
        <w:rPr>
          <w:sz w:val="26"/>
          <w:szCs w:val="26"/>
        </w:rPr>
      </w:pPr>
    </w:p>
    <w:p w:rsidR="005B08AD" w:rsidRPr="000F73A0" w:rsidRDefault="00D43077" w:rsidP="005B08AD">
      <w:pPr>
        <w:jc w:val="both"/>
        <w:rPr>
          <w:bCs/>
        </w:rPr>
      </w:pPr>
      <w:r w:rsidRPr="006A4602">
        <w:rPr>
          <w:b/>
        </w:rPr>
        <w:t xml:space="preserve">Наименование (тема) контрольного мероприятия: </w:t>
      </w:r>
      <w:r w:rsidR="005B08AD">
        <w:rPr>
          <w:b/>
          <w:bCs/>
        </w:rPr>
        <w:t>«</w:t>
      </w:r>
      <w:r w:rsidR="005B08AD" w:rsidRPr="000F73A0">
        <w:t>П</w:t>
      </w:r>
      <w:r w:rsidR="005B08AD" w:rsidRPr="000F73A0">
        <w:rPr>
          <w:bCs/>
        </w:rPr>
        <w:t>роверка целевого и эффективного использования субсидии, направленной из бюджета Сегежского городского поселения на финансовое обеспечение муниципального задания на оказание муниципальных услуг (культурно-массовые мероприятия) на 2017 год</w:t>
      </w:r>
      <w:r w:rsidR="005B08AD">
        <w:rPr>
          <w:bCs/>
        </w:rPr>
        <w:t>»</w:t>
      </w:r>
    </w:p>
    <w:p w:rsidR="005B08AD" w:rsidRDefault="00D43077" w:rsidP="005B08AD">
      <w:pPr>
        <w:tabs>
          <w:tab w:val="left" w:pos="2676"/>
        </w:tabs>
        <w:autoSpaceDE w:val="0"/>
        <w:autoSpaceDN w:val="0"/>
        <w:adjustRightInd w:val="0"/>
        <w:jc w:val="both"/>
      </w:pPr>
      <w:r w:rsidRPr="006A4602">
        <w:t xml:space="preserve"> </w:t>
      </w:r>
      <w:r w:rsidRPr="006A4602">
        <w:rPr>
          <w:b/>
        </w:rPr>
        <w:t xml:space="preserve">Основание проведения контрольного мероприятия: </w:t>
      </w:r>
      <w:r w:rsidR="005B08AD" w:rsidRPr="000F73A0">
        <w:t xml:space="preserve">п.2.1.3 Плана работы Контрольно-счетного комитета Сегежского муниципального района на 2018 год, утвержденного  постановлением  Контрольно - счетного комитета Сегежского муниципального района  от 26 декабря 2017 года № 67, постановление Контрольно- счетного комитета Сегежского муниципального района  от 5 марта 2018 года № 2.  </w:t>
      </w:r>
    </w:p>
    <w:p w:rsidR="005B08AD" w:rsidRPr="00122D52" w:rsidRDefault="00874C0E" w:rsidP="005B08AD">
      <w:pPr>
        <w:tabs>
          <w:tab w:val="left" w:pos="2676"/>
        </w:tabs>
        <w:autoSpaceDE w:val="0"/>
        <w:autoSpaceDN w:val="0"/>
        <w:adjustRightInd w:val="0"/>
        <w:jc w:val="both"/>
      </w:pPr>
      <w:r w:rsidRPr="006A4602">
        <w:rPr>
          <w:b/>
        </w:rPr>
        <w:t xml:space="preserve"> </w:t>
      </w:r>
      <w:r w:rsidR="00B07768" w:rsidRPr="006A4602">
        <w:rPr>
          <w:b/>
        </w:rPr>
        <w:t>Сроки проведения контрольного мероприятия:</w:t>
      </w:r>
      <w:r w:rsidR="00F57E47" w:rsidRPr="006A4602">
        <w:t xml:space="preserve"> </w:t>
      </w:r>
      <w:r w:rsidR="005B08AD" w:rsidRPr="00122D52">
        <w:t>с</w:t>
      </w:r>
      <w:r w:rsidR="005B08AD" w:rsidRPr="00122D52">
        <w:rPr>
          <w:bCs/>
        </w:rPr>
        <w:t xml:space="preserve"> 5 марта</w:t>
      </w:r>
      <w:r w:rsidR="005B08AD" w:rsidRPr="00122D52">
        <w:t xml:space="preserve"> 2018 года по 30 марта 2018 года.</w:t>
      </w:r>
    </w:p>
    <w:p w:rsidR="00922985" w:rsidRPr="006A4602" w:rsidRDefault="00B07768" w:rsidP="005B08AD">
      <w:pPr>
        <w:tabs>
          <w:tab w:val="left" w:pos="2676"/>
        </w:tabs>
        <w:autoSpaceDE w:val="0"/>
        <w:autoSpaceDN w:val="0"/>
        <w:adjustRightInd w:val="0"/>
        <w:jc w:val="both"/>
      </w:pPr>
      <w:r w:rsidRPr="006A4602">
        <w:rPr>
          <w:b/>
        </w:rPr>
        <w:t>Объекты контрольного мероприятия:</w:t>
      </w:r>
      <w:r w:rsidR="00874C0E" w:rsidRPr="006A4602">
        <w:rPr>
          <w:b/>
        </w:rPr>
        <w:t xml:space="preserve"> </w:t>
      </w:r>
      <w:r w:rsidR="00922985" w:rsidRPr="006A4602">
        <w:t>Муниципальное бюджетное учреждение «Молодежный центр».</w:t>
      </w:r>
    </w:p>
    <w:p w:rsidR="007E1281" w:rsidRPr="006A4602" w:rsidRDefault="00B07768" w:rsidP="007E1281">
      <w:pPr>
        <w:tabs>
          <w:tab w:val="left" w:pos="2676"/>
        </w:tabs>
        <w:autoSpaceDE w:val="0"/>
        <w:autoSpaceDN w:val="0"/>
        <w:adjustRightInd w:val="0"/>
        <w:jc w:val="both"/>
      </w:pPr>
      <w:r w:rsidRPr="006A4602">
        <w:rPr>
          <w:b/>
        </w:rPr>
        <w:t>Исполнитель контрольного мероприятия:</w:t>
      </w:r>
      <w:r w:rsidR="005B08AD">
        <w:t xml:space="preserve"> Т.И. Рудковская</w:t>
      </w:r>
      <w:r w:rsidR="007E1281" w:rsidRPr="006A4602">
        <w:t xml:space="preserve"> - </w:t>
      </w:r>
      <w:r w:rsidR="005B08AD">
        <w:t>председатель</w:t>
      </w:r>
      <w:r w:rsidR="007E1281" w:rsidRPr="006A4602">
        <w:t xml:space="preserve"> Контрольно – счетного комитета  Сегежского муниципального района</w:t>
      </w:r>
    </w:p>
    <w:p w:rsidR="005B08AD" w:rsidRDefault="005B08AD" w:rsidP="005B08AD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bCs/>
        </w:rPr>
      </w:pPr>
      <w:r w:rsidRPr="001C280E">
        <w:rPr>
          <w:b/>
          <w:bCs/>
        </w:rPr>
        <w:t>Перечень использованных (изученных) нормативных правовых актов, учетных и отчетных документов:</w:t>
      </w:r>
    </w:p>
    <w:p w:rsidR="005B08AD" w:rsidRPr="00354F09" w:rsidRDefault="005B08AD" w:rsidP="005B08AD">
      <w:pPr>
        <w:tabs>
          <w:tab w:val="left" w:pos="2676"/>
        </w:tabs>
        <w:jc w:val="both"/>
      </w:pPr>
      <w:r w:rsidRPr="00354F09">
        <w:t>1. "Бюджетный кодекс Российской Федерации" от 31.07.1998 N 145-ФЗ (ред. от 28.03.2017);</w:t>
      </w:r>
    </w:p>
    <w:p w:rsidR="005B08AD" w:rsidRPr="00354F09" w:rsidRDefault="005B08AD" w:rsidP="005B08AD">
      <w:pPr>
        <w:tabs>
          <w:tab w:val="left" w:pos="2676"/>
        </w:tabs>
        <w:jc w:val="both"/>
      </w:pPr>
      <w:r w:rsidRPr="00354F09">
        <w:t>2. Федеральный закон от 06.12.2011 N 402-ФЗ (ред. от 18.07.2017) "О бухгалтерском учете";</w:t>
      </w:r>
    </w:p>
    <w:p w:rsidR="005B08AD" w:rsidRDefault="005B08AD" w:rsidP="005B08AD">
      <w:pPr>
        <w:tabs>
          <w:tab w:val="left" w:pos="2676"/>
        </w:tabs>
        <w:jc w:val="both"/>
      </w:pPr>
      <w:r w:rsidRPr="00354F09">
        <w:t xml:space="preserve">3. Приказ Минфина России от 01.12.2010 N 157н (ред. от 16.11.2016) "Об утверждении Единого плана счетов бухгалтерского учета для органов государственной власти </w:t>
      </w:r>
      <w:r w:rsidRPr="00354F09">
        <w:lastRenderedPageBreak/>
        <w:t xml:space="preserve"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</w:t>
      </w:r>
    </w:p>
    <w:p w:rsidR="005B08AD" w:rsidRPr="00354F09" w:rsidRDefault="005B08AD" w:rsidP="005B08AD">
      <w:pPr>
        <w:tabs>
          <w:tab w:val="left" w:pos="2676"/>
        </w:tabs>
        <w:jc w:val="both"/>
      </w:pPr>
      <w:r>
        <w:t xml:space="preserve">4. </w:t>
      </w:r>
      <w:r w:rsidRPr="00AB6BE2">
        <w:t>Приказ</w:t>
      </w:r>
      <w:r>
        <w:t>ом</w:t>
      </w:r>
      <w:r w:rsidRPr="00AB6BE2">
        <w:t xml:space="preserve"> Минфина России от 01.07.2013 N 65н (ред. от 27.12.2017) "Об утверждении Указаний о порядке применения бюджетной классификации Российской Федерации"</w:t>
      </w:r>
      <w:r>
        <w:t>;</w:t>
      </w:r>
    </w:p>
    <w:p w:rsidR="005B08AD" w:rsidRDefault="005B08AD" w:rsidP="005B08AD">
      <w:pPr>
        <w:pStyle w:val="af0"/>
        <w:tabs>
          <w:tab w:val="left" w:pos="2676"/>
        </w:tabs>
        <w:ind w:left="0"/>
        <w:jc w:val="both"/>
      </w:pPr>
      <w:r w:rsidRPr="00354F09">
        <w:t>5. Приказ Минфина России от 28.07.2010 N 81н (ред. от 29.08.2016) "О требованиях к плану финансово-хозяйственной деятельности государственного (муниципального) учреждения" (Зарегистрировано в Минюсте России 23.09.2010 N 18530);</w:t>
      </w:r>
    </w:p>
    <w:p w:rsidR="005B08AD" w:rsidRDefault="005B08AD" w:rsidP="005B08AD">
      <w:pPr>
        <w:pStyle w:val="af0"/>
        <w:tabs>
          <w:tab w:val="left" w:pos="2676"/>
        </w:tabs>
        <w:ind w:left="0"/>
        <w:jc w:val="both"/>
      </w:pPr>
      <w:r>
        <w:t xml:space="preserve">6. </w:t>
      </w:r>
      <w:r w:rsidRPr="007033F5">
        <w:t>Приказ Минфина России от 30.03.2015 N 52н (ред. от 16.11.2016)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t>;</w:t>
      </w:r>
    </w:p>
    <w:p w:rsidR="005B08AD" w:rsidRPr="009C35F8" w:rsidRDefault="005B08AD" w:rsidP="005B08AD">
      <w:pPr>
        <w:tabs>
          <w:tab w:val="left" w:pos="2676"/>
        </w:tabs>
        <w:jc w:val="both"/>
      </w:pPr>
      <w:r>
        <w:t>7.</w:t>
      </w:r>
      <w:r w:rsidRPr="009C35F8">
        <w:t xml:space="preserve"> Устав муниципального бюджетного учреждения «Молодежный центр», утвержден постановлением главы Сегежского городского поселения от 05.03.2015 №6;</w:t>
      </w:r>
    </w:p>
    <w:p w:rsidR="005B08AD" w:rsidRPr="009C35F8" w:rsidRDefault="005B08AD" w:rsidP="005B08AD">
      <w:pPr>
        <w:tabs>
          <w:tab w:val="left" w:pos="2676"/>
        </w:tabs>
        <w:jc w:val="both"/>
      </w:pPr>
      <w:r>
        <w:t>8.</w:t>
      </w:r>
      <w:r w:rsidRPr="009C35F8">
        <w:t xml:space="preserve"> Постановление администрации Сегежского городского поселения от 14.11.2011 №170 «Об утверждении Порядка формирования муниципального задания, а также финансового обеспечения выполнения муниципального задания для муниципальных бюджетных и казенных учреждений Сегежского городского поселения»</w:t>
      </w:r>
      <w:r>
        <w:t xml:space="preserve"> (далее – Порядок формирования муниципального задания)</w:t>
      </w:r>
      <w:r w:rsidRPr="009C35F8">
        <w:t>;</w:t>
      </w:r>
    </w:p>
    <w:p w:rsidR="005B08AD" w:rsidRDefault="005B08AD" w:rsidP="005B08AD">
      <w:pPr>
        <w:tabs>
          <w:tab w:val="left" w:pos="2676"/>
        </w:tabs>
        <w:jc w:val="both"/>
      </w:pPr>
      <w:r>
        <w:t>9.</w:t>
      </w:r>
      <w:r w:rsidRPr="009C35F8">
        <w:t xml:space="preserve"> Постановление администрации Сеге</w:t>
      </w:r>
      <w:r>
        <w:t>жского городского поселения от 27</w:t>
      </w:r>
      <w:r w:rsidRPr="009C35F8">
        <w:t>.1</w:t>
      </w:r>
      <w:r>
        <w:t>0</w:t>
      </w:r>
      <w:r w:rsidRPr="009C35F8">
        <w:t>.201</w:t>
      </w:r>
      <w:r>
        <w:t xml:space="preserve">5 №253 «Об утверждении </w:t>
      </w:r>
      <w:r w:rsidRPr="009C35F8">
        <w:t>Перечня муниципальных услуг</w:t>
      </w:r>
      <w:r>
        <w:t xml:space="preserve"> и муниципальных работ</w:t>
      </w:r>
      <w:r w:rsidRPr="009C35F8">
        <w:t>, оказываемых (выполняемых) муниципальным</w:t>
      </w:r>
      <w:r>
        <w:t xml:space="preserve"> учреждением культуры</w:t>
      </w:r>
      <w:r w:rsidRPr="009C35F8">
        <w:t xml:space="preserve"> Сегежского городского поселения»;</w:t>
      </w:r>
    </w:p>
    <w:p w:rsidR="005B08AD" w:rsidRPr="00354F09" w:rsidRDefault="005B08AD" w:rsidP="005B08AD">
      <w:pPr>
        <w:pStyle w:val="Default"/>
        <w:jc w:val="both"/>
      </w:pPr>
      <w:r w:rsidRPr="00354F09">
        <w:t xml:space="preserve"> </w:t>
      </w:r>
      <w:r>
        <w:t>10.</w:t>
      </w:r>
      <w:r w:rsidRPr="00354F09">
        <w:t xml:space="preserve"> Постановление администрации Сегежского городского поселения от 25 апреля 2017 года № </w:t>
      </w:r>
      <w:r w:rsidRPr="00354F09">
        <w:rPr>
          <w:bCs/>
        </w:rPr>
        <w:t>87 «Об утверждении Перечня платных услуг муниципального бюджетного учреждения «Молодёжный центр»</w:t>
      </w:r>
      <w:r>
        <w:rPr>
          <w:bCs/>
        </w:rPr>
        <w:t>;</w:t>
      </w:r>
    </w:p>
    <w:p w:rsidR="005B08AD" w:rsidRPr="00354F09" w:rsidRDefault="005B08AD" w:rsidP="005B08AD">
      <w:pPr>
        <w:pStyle w:val="Default"/>
        <w:jc w:val="both"/>
      </w:pPr>
      <w:r>
        <w:t>11. Постановление администрации Сегежского городского поселения от 27.09.2017г. № 229 «О</w:t>
      </w:r>
      <w:r w:rsidRPr="00C15D7A">
        <w:t xml:space="preserve"> </w:t>
      </w:r>
      <w:r w:rsidRPr="00C15D7A">
        <w:rPr>
          <w:bCs/>
        </w:rPr>
        <w:t xml:space="preserve">внесении изменений в Перечень платных услуг муниципального бюджетного </w:t>
      </w:r>
      <w:r>
        <w:rPr>
          <w:bCs/>
        </w:rPr>
        <w:t>у</w:t>
      </w:r>
      <w:r w:rsidRPr="00354F09">
        <w:rPr>
          <w:bCs/>
        </w:rPr>
        <w:t>чреждения «Молодёжный центр», утверждённый постановлением администрации Сегежского городского поселения от 25 апреля 2017 года №87</w:t>
      </w:r>
      <w:r>
        <w:rPr>
          <w:bCs/>
        </w:rPr>
        <w:t>».</w:t>
      </w:r>
    </w:p>
    <w:p w:rsidR="005B08AD" w:rsidRPr="00A90A2C" w:rsidRDefault="005B08AD" w:rsidP="005B08AD">
      <w:pPr>
        <w:tabs>
          <w:tab w:val="left" w:pos="2676"/>
        </w:tabs>
        <w:autoSpaceDE w:val="0"/>
        <w:autoSpaceDN w:val="0"/>
        <w:adjustRightInd w:val="0"/>
        <w:jc w:val="both"/>
      </w:pPr>
      <w:r w:rsidRPr="00A90A2C">
        <w:rPr>
          <w:b/>
        </w:rPr>
        <w:t xml:space="preserve"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 </w:t>
      </w:r>
      <w:r w:rsidRPr="00A90A2C">
        <w:t xml:space="preserve">По результатам контрольного мероприятия в форме проверки составлен акт от  30 марта </w:t>
      </w:r>
      <w:r w:rsidRPr="00A90A2C">
        <w:rPr>
          <w:color w:val="000000"/>
        </w:rPr>
        <w:t>2018 года,</w:t>
      </w:r>
      <w:r w:rsidRPr="00A90A2C">
        <w:t xml:space="preserve"> который был направлен директору МБУ «Молодежный центр»</w:t>
      </w:r>
      <w:r w:rsidRPr="00A90A2C">
        <w:rPr>
          <w:color w:val="000000"/>
        </w:rPr>
        <w:t xml:space="preserve"> </w:t>
      </w:r>
      <w:r w:rsidRPr="00A90A2C">
        <w:t>(исх. № 01-15/32 от 30.03.2018 года). Представленные пояснения по результатам проверки учтены при составлении отчета о результатах контрольного мероприятия.</w:t>
      </w:r>
    </w:p>
    <w:p w:rsidR="005B08AD" w:rsidRPr="00A90A2C" w:rsidRDefault="005B08AD" w:rsidP="005B08AD">
      <w:pPr>
        <w:tabs>
          <w:tab w:val="left" w:pos="2676"/>
        </w:tabs>
        <w:jc w:val="both"/>
      </w:pPr>
      <w:r w:rsidRPr="00A90A2C">
        <w:rPr>
          <w:b/>
        </w:rPr>
        <w:t xml:space="preserve">Неполученные документы из числа затребованных с указанием причин или иные факты, препятствовавшие работе: </w:t>
      </w:r>
      <w:r w:rsidRPr="00A90A2C">
        <w:t>нет</w:t>
      </w:r>
    </w:p>
    <w:p w:rsidR="00A90A2C" w:rsidRPr="00A90A2C" w:rsidRDefault="00A90A2C" w:rsidP="005B08AD">
      <w:pPr>
        <w:tabs>
          <w:tab w:val="left" w:pos="2676"/>
        </w:tabs>
        <w:jc w:val="both"/>
        <w:rPr>
          <w:b/>
        </w:rPr>
      </w:pPr>
    </w:p>
    <w:p w:rsidR="005B08AD" w:rsidRPr="00A90A2C" w:rsidRDefault="005B08AD" w:rsidP="005B08AD">
      <w:pPr>
        <w:tabs>
          <w:tab w:val="left" w:pos="2676"/>
        </w:tabs>
        <w:jc w:val="both"/>
        <w:rPr>
          <w:b/>
        </w:rPr>
      </w:pPr>
      <w:r w:rsidRPr="00A90A2C">
        <w:rPr>
          <w:b/>
        </w:rPr>
        <w:t xml:space="preserve">Результаты контрольного мероприятия: </w:t>
      </w:r>
    </w:p>
    <w:p w:rsidR="005B08AD" w:rsidRPr="00A90A2C" w:rsidRDefault="005B08AD" w:rsidP="007E1281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bCs/>
        </w:rPr>
      </w:pPr>
    </w:p>
    <w:p w:rsidR="005B08AD" w:rsidRPr="001F3F70" w:rsidRDefault="005B08AD" w:rsidP="005B08AD">
      <w:pPr>
        <w:ind w:firstLine="709"/>
        <w:jc w:val="both"/>
      </w:pPr>
      <w:r w:rsidRPr="001F3F70">
        <w:t>Муниципальное бюджетное  учреждение «Молодежный центр» является правопреемником муниципального бюджетного учреждения   «Сегежский Центр кино и молодежи». Учреждение переименовано на основании постановления главы Сегежского городского поселения от 05 марта 2015 года № 6.</w:t>
      </w:r>
    </w:p>
    <w:p w:rsidR="005B08AD" w:rsidRPr="001F3F70" w:rsidRDefault="005B08AD" w:rsidP="005B08AD">
      <w:pPr>
        <w:ind w:firstLine="709"/>
        <w:jc w:val="both"/>
      </w:pPr>
      <w:r w:rsidRPr="001F3F70">
        <w:t xml:space="preserve"> Устав МБУ «Молодежный центр» в новой редакции утвержден постановлением главы Сегежского городского поселения от 05 марта 2015 года №6. Согласно Уставу учреждение является многофункциональным учреждением, находящимся в муниципальной собственности муниципального образования «Сегежское городское поселение», созданным на основании решения Совета Сегежского городского поселения, исполняющим основные цели:</w:t>
      </w:r>
    </w:p>
    <w:p w:rsidR="005B08AD" w:rsidRPr="00883199" w:rsidRDefault="005B08AD" w:rsidP="005B08AD">
      <w:pPr>
        <w:ind w:firstLine="709"/>
        <w:jc w:val="both"/>
      </w:pPr>
      <w:r w:rsidRPr="00883199">
        <w:t>1) создание условий для организации досуга и обеспечения жителей Сегежского городского поселения услугами организаций культуры, спорта и молодежной политики;</w:t>
      </w:r>
    </w:p>
    <w:p w:rsidR="005B08AD" w:rsidRPr="00883199" w:rsidRDefault="005B08AD" w:rsidP="005B08AD">
      <w:pPr>
        <w:pStyle w:val="af0"/>
        <w:numPr>
          <w:ilvl w:val="0"/>
          <w:numId w:val="26"/>
        </w:numPr>
        <w:ind w:left="0" w:firstLine="709"/>
        <w:jc w:val="both"/>
      </w:pPr>
      <w:r w:rsidRPr="00883199">
        <w:t>обеспечение культурного обслуживания населения Сегежского городского поселения с учетом культурно-спортивных интересов и потребностей различных социально-возрастных групп;</w:t>
      </w:r>
    </w:p>
    <w:p w:rsidR="005B08AD" w:rsidRPr="00883199" w:rsidRDefault="005B08AD" w:rsidP="005B08AD">
      <w:pPr>
        <w:pStyle w:val="af0"/>
        <w:numPr>
          <w:ilvl w:val="0"/>
          <w:numId w:val="26"/>
        </w:numPr>
        <w:ind w:left="0" w:firstLine="709"/>
        <w:jc w:val="both"/>
      </w:pPr>
      <w:r w:rsidRPr="00883199">
        <w:t>содействие в реализации прав граждан на доступ к культурным ценностям;</w:t>
      </w:r>
    </w:p>
    <w:p w:rsidR="005B08AD" w:rsidRPr="00883199" w:rsidRDefault="005B08AD" w:rsidP="005B08AD">
      <w:pPr>
        <w:pStyle w:val="af0"/>
        <w:numPr>
          <w:ilvl w:val="0"/>
          <w:numId w:val="26"/>
        </w:numPr>
        <w:ind w:left="0" w:firstLine="709"/>
        <w:jc w:val="both"/>
      </w:pPr>
      <w:r w:rsidRPr="00883199">
        <w:t>организация библиотечного обслуживания населения, комплектование и обеспечение сохранности библиотечных фондов библиотек Сегежского городского поселения;</w:t>
      </w:r>
    </w:p>
    <w:p w:rsidR="005B08AD" w:rsidRPr="00883199" w:rsidRDefault="005B08AD" w:rsidP="005B08AD">
      <w:pPr>
        <w:pStyle w:val="af0"/>
        <w:numPr>
          <w:ilvl w:val="0"/>
          <w:numId w:val="26"/>
        </w:numPr>
        <w:ind w:left="0" w:firstLine="709"/>
        <w:jc w:val="both"/>
      </w:pPr>
      <w:r w:rsidRPr="00883199">
        <w:t>организация и осуществление мероприятий по работе с детьми и молодежью;</w:t>
      </w:r>
    </w:p>
    <w:p w:rsidR="005B08AD" w:rsidRPr="00883199" w:rsidRDefault="005B08AD" w:rsidP="005B08AD">
      <w:pPr>
        <w:pStyle w:val="af0"/>
        <w:numPr>
          <w:ilvl w:val="0"/>
          <w:numId w:val="26"/>
        </w:numPr>
        <w:ind w:left="0" w:firstLine="709"/>
        <w:jc w:val="both"/>
      </w:pPr>
      <w:r w:rsidRPr="00883199">
        <w:t>создание условий для интеграции молодежи в социально-экономическую, общественно-политическую и культурную жизнь города, обеспечение социально-правовой защищенности детей и молодёжи, развития социальной активности молодежи;</w:t>
      </w:r>
    </w:p>
    <w:p w:rsidR="005B08AD" w:rsidRPr="00883199" w:rsidRDefault="005B08AD" w:rsidP="005B08AD">
      <w:pPr>
        <w:pStyle w:val="af0"/>
        <w:numPr>
          <w:ilvl w:val="0"/>
          <w:numId w:val="26"/>
        </w:numPr>
        <w:ind w:left="0" w:firstLine="709"/>
        <w:jc w:val="both"/>
      </w:pPr>
      <w:r w:rsidRPr="00883199">
        <w:t>обеспечение условий для развития на территории Сегежского городского поселения физической культуры и массового спорта, организация проведения официальных физкультурно-оздоровительных и спортивных мероприятий Сегежского городского поселения.</w:t>
      </w:r>
    </w:p>
    <w:p w:rsidR="005B08AD" w:rsidRPr="001F3F70" w:rsidRDefault="005B08AD" w:rsidP="005B08AD">
      <w:pPr>
        <w:ind w:firstLine="709"/>
        <w:jc w:val="both"/>
      </w:pPr>
      <w:r w:rsidRPr="001F3F70">
        <w:t>Для достижения целей учреждение осуществляет в установленном действующим законодательством порядке виды деятельности, согласно п.2.2 Устава учреждения. Учреждение вправе осуществлять виды приносящей доход деятельности постольку, поскольку это соответствует и служит достижению целей.</w:t>
      </w:r>
    </w:p>
    <w:p w:rsidR="005B08AD" w:rsidRPr="001F3F70" w:rsidRDefault="005B08AD" w:rsidP="005B08AD">
      <w:pPr>
        <w:ind w:firstLine="709"/>
        <w:jc w:val="both"/>
      </w:pPr>
      <w:r w:rsidRPr="001F3F70">
        <w:t xml:space="preserve">Учредителем МБУ «Молодежный центр» от имени муниципального образования «Сегежское городское поселение» выступает администрация Сегежского городского поселения. </w:t>
      </w:r>
    </w:p>
    <w:p w:rsidR="005B08AD" w:rsidRDefault="005B08AD" w:rsidP="005B08AD">
      <w:pPr>
        <w:ind w:firstLine="709"/>
        <w:jc w:val="both"/>
      </w:pPr>
      <w:r w:rsidRPr="001F3F70">
        <w:t>Муниципальное задание для Учреждения в соответствии с предусмотренными его основными видами деятельности утверждает Учредитель. Учреждение не вправе отказаться от выполнения муниципального задания.</w:t>
      </w:r>
    </w:p>
    <w:p w:rsidR="005B08AD" w:rsidRPr="001F3F70" w:rsidRDefault="005B08AD" w:rsidP="005B08AD">
      <w:pPr>
        <w:ind w:firstLine="709"/>
        <w:jc w:val="both"/>
      </w:pPr>
      <w:r w:rsidRPr="001F3F70">
        <w:t>Финансовое обеспечение выполнения муниципального задания Учреждением осуществляется в виде субсидий из бюджета Сегежского городского поселения.</w:t>
      </w:r>
      <w:r w:rsidRPr="001F3F70">
        <w:br/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Учредителем или приобретенного бюджетным Учреждением за счет средств, выделенных ему Учредителем на приобретение такого имущества. </w:t>
      </w:r>
    </w:p>
    <w:p w:rsidR="005B08AD" w:rsidRPr="001F3F70" w:rsidRDefault="005B08AD" w:rsidP="005B08AD">
      <w:pPr>
        <w:ind w:firstLine="709"/>
        <w:jc w:val="both"/>
      </w:pPr>
      <w:r w:rsidRPr="001F3F70">
        <w:t xml:space="preserve">Источниками формирования имущества и финансовых средств Учреждения пунктом 5.13 Устава определены: </w:t>
      </w:r>
    </w:p>
    <w:p w:rsidR="005B08AD" w:rsidRPr="001F3F70" w:rsidRDefault="005B08AD" w:rsidP="005B08AD">
      <w:pPr>
        <w:ind w:firstLine="709"/>
        <w:jc w:val="both"/>
      </w:pPr>
      <w:r w:rsidRPr="001F3F70">
        <w:t>1) имущество, закрепленное собственником или уполномоченным им органом на праве оперативного управления;</w:t>
      </w:r>
    </w:p>
    <w:p w:rsidR="005B08AD" w:rsidRPr="001F3F70" w:rsidRDefault="005B08AD" w:rsidP="005B08AD">
      <w:pPr>
        <w:ind w:firstLine="709"/>
        <w:jc w:val="both"/>
      </w:pPr>
      <w:r w:rsidRPr="001F3F70">
        <w:t>2) имущество, приобретенное за счет финансовых средств, выделенных по смете, и доходов от разрешенной приносящей доход деятельности;</w:t>
      </w:r>
    </w:p>
    <w:p w:rsidR="005B08AD" w:rsidRPr="001F3F70" w:rsidRDefault="005B08AD" w:rsidP="005B08AD">
      <w:pPr>
        <w:ind w:firstLine="709"/>
        <w:jc w:val="both"/>
      </w:pPr>
      <w:r w:rsidRPr="001F3F70">
        <w:t>3) имущество, приобретенное за счет бюджетных ассигнований и иные поступления от Учредителя;</w:t>
      </w:r>
    </w:p>
    <w:p w:rsidR="005B08AD" w:rsidRPr="001F3F70" w:rsidRDefault="005B08AD" w:rsidP="005B08AD">
      <w:pPr>
        <w:ind w:firstLine="709"/>
        <w:jc w:val="both"/>
      </w:pPr>
      <w:r w:rsidRPr="001F3F70">
        <w:t>4)  имущество, приобретенное за счет внебюджетных средств;</w:t>
      </w:r>
    </w:p>
    <w:p w:rsidR="005B08AD" w:rsidRPr="001F3F70" w:rsidRDefault="005B08AD" w:rsidP="005B08AD">
      <w:pPr>
        <w:ind w:firstLine="709"/>
        <w:jc w:val="both"/>
      </w:pPr>
      <w:r w:rsidRPr="001F3F70">
        <w:t>5)  безвозмездные, благотворительные взносы и пожертвования юридических и физических лиц;</w:t>
      </w:r>
    </w:p>
    <w:p w:rsidR="005B08AD" w:rsidRPr="001F3F70" w:rsidRDefault="005B08AD" w:rsidP="005B08AD">
      <w:pPr>
        <w:ind w:firstLine="709"/>
        <w:contextualSpacing/>
        <w:jc w:val="both"/>
      </w:pPr>
      <w:r w:rsidRPr="001F3F70">
        <w:t xml:space="preserve">6)  иные источники, не запрещенные действующим законодательством. </w:t>
      </w:r>
    </w:p>
    <w:p w:rsidR="005B08AD" w:rsidRPr="001F3F70" w:rsidRDefault="005B08AD" w:rsidP="005B08A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F3F70">
        <w:t xml:space="preserve">В соответствии с п.1.6,п.1.10 Устава Учреждение является юридическим лицом с момента государственной регистрации в порядке установленном законом о регистрации юридических лиц, имеет обособленное имущество на праве оперативного управления, имеет самостоятельный баланс,  печать со своим наименованием и наименованием Учредителя и другую атрибутику. Внесено в Единый государственный реестр юридических лиц под основным государственным регистрационным номером 1041000870657, Учреждение состоит на налоговом учете в Межрайонной инспекции ФНС № 2 по Республике Карелия. При регистрации и постановке на учет в налоговом органе присвоен идентификационный номер налогоплательщика (ИНН) –1006006392,  код причины постановки на налоговый учет (КПП) - 100601001. </w:t>
      </w:r>
    </w:p>
    <w:p w:rsidR="005B08AD" w:rsidRPr="001F3F70" w:rsidRDefault="005B08AD" w:rsidP="005B08AD">
      <w:pPr>
        <w:ind w:firstLine="709"/>
        <w:jc w:val="both"/>
      </w:pPr>
      <w:r w:rsidRPr="001F3F70">
        <w:t>Учреждению открыты в Управлении Федерального казначейства по Республике Карелия следующие лицевые счета:</w:t>
      </w:r>
    </w:p>
    <w:p w:rsidR="005B08AD" w:rsidRPr="001F3F70" w:rsidRDefault="005B08AD" w:rsidP="005B08AD">
      <w:pPr>
        <w:ind w:firstLine="709"/>
        <w:jc w:val="both"/>
      </w:pPr>
      <w:r w:rsidRPr="001F3F70">
        <w:t>- лицевой счет бюдж</w:t>
      </w:r>
      <w:r>
        <w:t>етного учреждения № 20066У62500.</w:t>
      </w:r>
    </w:p>
    <w:p w:rsidR="005B08AD" w:rsidRDefault="005B08AD" w:rsidP="005B08AD">
      <w:pPr>
        <w:autoSpaceDE w:val="0"/>
        <w:autoSpaceDN w:val="0"/>
        <w:adjustRightInd w:val="0"/>
        <w:jc w:val="center"/>
        <w:rPr>
          <w:b/>
        </w:rPr>
      </w:pPr>
    </w:p>
    <w:p w:rsidR="005B08AD" w:rsidRPr="009C35F8" w:rsidRDefault="005B08AD" w:rsidP="005B08AD">
      <w:pPr>
        <w:autoSpaceDE w:val="0"/>
        <w:autoSpaceDN w:val="0"/>
        <w:adjustRightInd w:val="0"/>
        <w:jc w:val="center"/>
        <w:rPr>
          <w:b/>
        </w:rPr>
      </w:pPr>
      <w:r w:rsidRPr="009C35F8">
        <w:rPr>
          <w:b/>
        </w:rPr>
        <w:t>Выполнение учреждением муниципального задания на оказание муниципальных услуг</w:t>
      </w:r>
    </w:p>
    <w:p w:rsidR="005B08AD" w:rsidRDefault="005B08AD" w:rsidP="005B08AD">
      <w:pPr>
        <w:ind w:firstLine="709"/>
        <w:jc w:val="both"/>
      </w:pPr>
    </w:p>
    <w:p w:rsidR="005B08AD" w:rsidRDefault="005B08AD" w:rsidP="005B08A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1. Финансовое обеспечение вы</w:t>
      </w:r>
      <w:r w:rsidR="00A90A2C">
        <w:rPr>
          <w:b/>
          <w:bCs/>
          <w:sz w:val="23"/>
          <w:szCs w:val="23"/>
        </w:rPr>
        <w:t>полнения муниципального задания</w:t>
      </w:r>
    </w:p>
    <w:p w:rsidR="005B08AD" w:rsidRDefault="005B08AD" w:rsidP="005B08AD">
      <w:pPr>
        <w:pStyle w:val="Default"/>
        <w:jc w:val="center"/>
        <w:rPr>
          <w:sz w:val="23"/>
          <w:szCs w:val="23"/>
        </w:rPr>
      </w:pPr>
    </w:p>
    <w:p w:rsidR="005B08AD" w:rsidRPr="00F726DF" w:rsidRDefault="005B08AD" w:rsidP="005B08AD">
      <w:pPr>
        <w:pStyle w:val="Default"/>
        <w:ind w:firstLine="709"/>
        <w:jc w:val="both"/>
      </w:pPr>
      <w:r w:rsidRPr="00F726DF">
        <w:t xml:space="preserve">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>
        <w:t xml:space="preserve">городского поселения </w:t>
      </w:r>
      <w:r w:rsidRPr="00F726DF">
        <w:t xml:space="preserve">на эти цели в виде субсидий. </w:t>
      </w:r>
    </w:p>
    <w:p w:rsidR="005B08AD" w:rsidRPr="00F726DF" w:rsidRDefault="005B08AD" w:rsidP="005B08AD">
      <w:pPr>
        <w:pStyle w:val="Default"/>
        <w:ind w:firstLine="709"/>
        <w:jc w:val="both"/>
      </w:pPr>
      <w:r w:rsidRPr="00F726DF">
        <w:t xml:space="preserve">Соглашение </w:t>
      </w:r>
      <w:r>
        <w:t xml:space="preserve">№243/16-5 от 30.12.2016 года </w:t>
      </w:r>
      <w:r w:rsidRPr="00F726DF">
        <w:t xml:space="preserve">о </w:t>
      </w:r>
      <w:r>
        <w:t>предоставлении целевой</w:t>
      </w:r>
      <w:r w:rsidRPr="00F726DF">
        <w:t xml:space="preserve"> субсидии на финансовое обеспечение </w:t>
      </w:r>
      <w:r>
        <w:t xml:space="preserve">выполнения </w:t>
      </w:r>
      <w:r w:rsidRPr="00F726DF">
        <w:t xml:space="preserve">муниципального задания </w:t>
      </w:r>
      <w:r>
        <w:t>муниципальным бюджетным учреждением «Молодежный центр»</w:t>
      </w:r>
      <w:r w:rsidRPr="00F726DF">
        <w:t xml:space="preserve"> заключено между учреждением и учредителем на сумму </w:t>
      </w:r>
      <w:r>
        <w:t>9 774,0</w:t>
      </w:r>
      <w:r w:rsidRPr="00F726DF">
        <w:t xml:space="preserve"> тыс. руб</w:t>
      </w:r>
      <w:r>
        <w:t>лей, в том числе 585,8 тыс. рублей на организацию деятельности клубных формирований, культурно-массовых и иных мероприятий.</w:t>
      </w:r>
    </w:p>
    <w:p w:rsidR="005B08AD" w:rsidRDefault="005B08AD" w:rsidP="005B08AD">
      <w:pPr>
        <w:pStyle w:val="Default"/>
        <w:ind w:firstLine="709"/>
        <w:jc w:val="both"/>
      </w:pPr>
      <w:r w:rsidRPr="00F726DF">
        <w:t xml:space="preserve">Размер субсидии на финансовое обеспечение выполнения муниципального задания определен с учетом нормативных затрат на оказание муниципальных услуг, нормативных затрат на выполнение работ и нормативных затрат на содержание недвижимого имущества и особо ценного движимого имущества. </w:t>
      </w:r>
    </w:p>
    <w:p w:rsidR="005B08AD" w:rsidRDefault="005B08AD" w:rsidP="005B08AD">
      <w:pPr>
        <w:pStyle w:val="Default"/>
        <w:ind w:firstLine="709"/>
        <w:jc w:val="both"/>
      </w:pPr>
      <w:r>
        <w:t>Дополнительным соглашением б/н от 06.12.2017 года внесены изменения в части предоставления размера субсидий на финансовое обеспечение муниципального задания. Сумма субсидий увеличена на 46,4 тыс. рублей и составила 9 820,4 тыс. рублей, в том числе 553,2 тыс. рублей на организацию деятельности клубных формирований, культурно-массовых и иных мероприятий. Сумма субсидий</w:t>
      </w:r>
      <w:r w:rsidRPr="00345191">
        <w:t xml:space="preserve"> </w:t>
      </w:r>
      <w:r>
        <w:t>на организацию деятельности клубных формирований, культурно-массовых и иных мероприятий сократилась на 32,6 тыс. рублей.</w:t>
      </w:r>
    </w:p>
    <w:p w:rsidR="005B08AD" w:rsidRDefault="005B08AD" w:rsidP="005B08AD">
      <w:pPr>
        <w:jc w:val="center"/>
        <w:rPr>
          <w:b/>
        </w:rPr>
      </w:pPr>
    </w:p>
    <w:p w:rsidR="005B08AD" w:rsidRDefault="005B08AD" w:rsidP="005B08AD">
      <w:pPr>
        <w:jc w:val="center"/>
        <w:rPr>
          <w:b/>
        </w:rPr>
      </w:pPr>
      <w:r w:rsidRPr="000A70DD">
        <w:rPr>
          <w:b/>
        </w:rPr>
        <w:t xml:space="preserve">2. Анализ выполнения муниципального задания и целевых показателей в части организации культурно-массовых </w:t>
      </w:r>
      <w:r>
        <w:rPr>
          <w:b/>
        </w:rPr>
        <w:t>и иных мероприятий в г. Сегежи</w:t>
      </w:r>
      <w:r w:rsidRPr="000A70DD">
        <w:rPr>
          <w:b/>
        </w:rPr>
        <w:t xml:space="preserve"> </w:t>
      </w:r>
    </w:p>
    <w:p w:rsidR="005B08AD" w:rsidRPr="000A70DD" w:rsidRDefault="005B08AD" w:rsidP="005B08AD">
      <w:pPr>
        <w:jc w:val="center"/>
        <w:rPr>
          <w:b/>
        </w:rPr>
      </w:pPr>
    </w:p>
    <w:p w:rsidR="005B08AD" w:rsidRPr="0073018D" w:rsidRDefault="005B08AD" w:rsidP="005B08AD">
      <w:pPr>
        <w:pStyle w:val="Default"/>
        <w:ind w:firstLine="709"/>
        <w:jc w:val="both"/>
      </w:pPr>
      <w:r w:rsidRPr="0073018D">
        <w:t>Муниципальное задание Учреждения на 2017 год утверждено главой Сегежского городского поселения 15 декабря 2016 года, что соответствует п.3 Порядка формирования муниципального задания, а также финансового обеспечения выполнения муниципального задания для муниципальных бюджетных и казенных учреждений Сегежского городского поселения, утвержденного постановлением администрации Сегежского городского поселения от 14.11.2011 №170.</w:t>
      </w:r>
    </w:p>
    <w:p w:rsidR="005B08AD" w:rsidRPr="0073018D" w:rsidRDefault="005B08AD" w:rsidP="005B08AD">
      <w:pPr>
        <w:pStyle w:val="Default"/>
        <w:ind w:firstLine="709"/>
        <w:jc w:val="both"/>
      </w:pPr>
      <w:r w:rsidRPr="0073018D">
        <w:t xml:space="preserve">С связи с внесением </w:t>
      </w:r>
      <w:r w:rsidRPr="0073018D">
        <w:rPr>
          <w:bCs/>
        </w:rPr>
        <w:t xml:space="preserve">изменений в Перечень платных услуг муниципального бюджетного учреждения «Молодежный центр», утвержденное постановлением администрации Сегежского городского поселения </w:t>
      </w:r>
      <w:r w:rsidRPr="0073018D">
        <w:t>от 27.09.2017г. № 229, муниципальное задание, утвержденное главой администрации Сегежского городского поселения 20.09.2017 года, дополнилось муниципальной услугой «Организация деятельности по кинопоказу». В результате количественные и качественные показатели Раздела 2 организация культурно-массовых и иных мероприятий соответственно уменьшились: - общее количество культурно-массовых мероприятий сократилось с 106 до 94, количество участников – с 8084 до 7729 человек, доходы от организации и проведение мероприятий увеличились с 147,95 тыс. рублей до 291,25 тыс. рублей.</w:t>
      </w:r>
    </w:p>
    <w:p w:rsidR="005B08AD" w:rsidRPr="0073018D" w:rsidRDefault="005B08AD" w:rsidP="005B08AD">
      <w:pPr>
        <w:pStyle w:val="Default"/>
        <w:ind w:firstLine="709"/>
        <w:jc w:val="both"/>
      </w:pPr>
    </w:p>
    <w:p w:rsidR="005B08AD" w:rsidRPr="0073018D" w:rsidRDefault="005B08AD" w:rsidP="005B08AD">
      <w:pPr>
        <w:pStyle w:val="Default"/>
        <w:ind w:firstLine="709"/>
        <w:jc w:val="both"/>
      </w:pPr>
      <w:r w:rsidRPr="0073018D">
        <w:t xml:space="preserve">Отчет о выполнении муниципального задания на оказание муниципальных услуг (выполнение работ) (далее - отчет) предоставляется учредителю в соответствии с утвержденной формой, своевременно. </w:t>
      </w:r>
    </w:p>
    <w:p w:rsidR="005B08AD" w:rsidRPr="005631CE" w:rsidRDefault="005B08AD" w:rsidP="005B08AD">
      <w:pPr>
        <w:pStyle w:val="Default"/>
        <w:ind w:firstLine="709"/>
        <w:jc w:val="both"/>
      </w:pPr>
      <w:r w:rsidRPr="005631CE">
        <w:rPr>
          <w:color w:val="000009"/>
        </w:rPr>
        <w:t>Результат оказания муниципальных услуг оценивается по количественному (количество мероприятий) и качественным показателям (количество участников мероприятий, количество совместных мероприятий, доход от организации и проведения мероприятий, учет качества оказания услуг (отсутствие жалоб))</w:t>
      </w:r>
      <w:r w:rsidRPr="005631CE">
        <w:rPr>
          <w:rFonts w:eastAsia="Arial Unicode MS"/>
          <w:color w:val="000009"/>
        </w:rPr>
        <w:t>.</w:t>
      </w:r>
    </w:p>
    <w:p w:rsidR="005B08AD" w:rsidRDefault="005B08AD" w:rsidP="005B08AD">
      <w:pPr>
        <w:pStyle w:val="Default"/>
        <w:ind w:firstLine="709"/>
        <w:jc w:val="both"/>
        <w:rPr>
          <w:sz w:val="23"/>
          <w:szCs w:val="23"/>
        </w:rPr>
      </w:pPr>
    </w:p>
    <w:p w:rsidR="005B08AD" w:rsidRPr="00255BD6" w:rsidRDefault="005B08AD" w:rsidP="005B08AD">
      <w:pPr>
        <w:ind w:firstLine="709"/>
        <w:jc w:val="center"/>
      </w:pPr>
      <w:r w:rsidRPr="00255BD6">
        <w:t>Выполнение муниципального задания по муниципальной услуги «Организация культурно-массовых и иных мероприятий» за  2017 года приведено в таблице № 1.</w:t>
      </w:r>
    </w:p>
    <w:p w:rsidR="005B08AD" w:rsidRPr="0073018D" w:rsidRDefault="005B08AD" w:rsidP="005B08AD">
      <w:pPr>
        <w:ind w:firstLine="709"/>
        <w:jc w:val="right"/>
      </w:pPr>
      <w:r w:rsidRPr="0073018D">
        <w:t>Таблица №1</w:t>
      </w:r>
    </w:p>
    <w:p w:rsidR="005B08AD" w:rsidRDefault="005B08AD" w:rsidP="005B08AD">
      <w:pPr>
        <w:ind w:firstLine="709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26"/>
        <w:gridCol w:w="2026"/>
        <w:gridCol w:w="2026"/>
        <w:gridCol w:w="2026"/>
        <w:gridCol w:w="2026"/>
      </w:tblGrid>
      <w:tr w:rsidR="005B08AD" w:rsidTr="00C56734">
        <w:trPr>
          <w:trHeight w:val="247"/>
        </w:trPr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муниципальной услуги (работы)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Ед.изм.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% </w:t>
            </w:r>
          </w:p>
        </w:tc>
      </w:tr>
      <w:tr w:rsidR="005B08AD" w:rsidTr="00C56734">
        <w:trPr>
          <w:trHeight w:val="523"/>
        </w:trPr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мероприятий; 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мероприятие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</w:tr>
      <w:tr w:rsidR="005B08AD" w:rsidTr="00C56734">
        <w:trPr>
          <w:trHeight w:val="523"/>
        </w:trPr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участников мероприятий;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человек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7729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16781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217,1 </w:t>
            </w:r>
          </w:p>
        </w:tc>
      </w:tr>
      <w:tr w:rsidR="005B08AD" w:rsidTr="00C56734">
        <w:trPr>
          <w:trHeight w:val="523"/>
        </w:trPr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совместных мероприятий;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мероприятие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132,5 </w:t>
            </w:r>
          </w:p>
        </w:tc>
      </w:tr>
      <w:tr w:rsidR="005B08AD" w:rsidTr="00C56734">
        <w:trPr>
          <w:trHeight w:val="523"/>
        </w:trPr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Учет качества оказания услуги (отсутствие жалоб), а также при проведении опросов.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письменная жалоба 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026" w:type="dxa"/>
          </w:tcPr>
          <w:p w:rsidR="005B08AD" w:rsidRDefault="005B08AD" w:rsidP="00C567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</w:tr>
    </w:tbl>
    <w:p w:rsidR="005B08AD" w:rsidRDefault="005B08AD" w:rsidP="005B08AD">
      <w:pPr>
        <w:ind w:firstLine="709"/>
        <w:jc w:val="both"/>
      </w:pPr>
    </w:p>
    <w:p w:rsidR="005B08AD" w:rsidRPr="003148D8" w:rsidRDefault="005B08AD" w:rsidP="005B08AD">
      <w:pPr>
        <w:ind w:firstLine="709"/>
        <w:jc w:val="both"/>
      </w:pPr>
      <w:r w:rsidRPr="00242767">
        <w:t>Таким образом, все показатели  работниками МБУ «Молодежный центр»</w:t>
      </w:r>
      <w:r>
        <w:t xml:space="preserve"> </w:t>
      </w:r>
      <w:r w:rsidRPr="003148D8">
        <w:t xml:space="preserve">выполнены в полном объеме. </w:t>
      </w:r>
    </w:p>
    <w:p w:rsidR="005B08AD" w:rsidRDefault="005B08AD" w:rsidP="005B08AD">
      <w:pPr>
        <w:ind w:firstLine="709"/>
        <w:jc w:val="both"/>
      </w:pPr>
      <w:r>
        <w:t xml:space="preserve">Согласно отчета об исполнении муниципального задания за 2017 г. Раздела 3 </w:t>
      </w:r>
      <w:r w:rsidRPr="00242767">
        <w:t>организация культульно-массовых мероприятий в г. Сегежи проведено 94 мероприятий, в</w:t>
      </w:r>
      <w:r>
        <w:t xml:space="preserve"> которых участвовало 16781 человек, что превысило плановый показатель 2,2 раза (7729 человек). При плане совместных проводимых мероприятий 40, проведено – 53. Доход от организации и проведения мероприятий превысил план на 58,25 тыс. рублей или на 20,0% и составил 349,5 тыс. рублей.</w:t>
      </w:r>
    </w:p>
    <w:p w:rsidR="005B08AD" w:rsidRDefault="005B08AD" w:rsidP="005B08AD">
      <w:pPr>
        <w:ind w:firstLine="709"/>
        <w:jc w:val="both"/>
      </w:pPr>
      <w:r>
        <w:t xml:space="preserve">Директором Учреждения ежемесячно утверждается план на месяц, который сверяется с годовым планом, согласованным с Учредителем и корректируется с учетом условий (погодные условия, перенос проведение совместных мероприятий на другую дату, отмена мероприятий по карантину и т.д.). Приказом по основной деятельности директором Учреждения назначаются ответственные за проведение культульно-массовых мероприятий, которые готовят сценарии, сметы расходов для каждого мероприятия. Ежемесячно, ответственные за проведение мероприятий предоставляют директору Учреждения отчеты о проделанной работе. </w:t>
      </w:r>
    </w:p>
    <w:p w:rsidR="005B08AD" w:rsidRDefault="005B08AD" w:rsidP="005B08AD">
      <w:pPr>
        <w:ind w:firstLine="709"/>
        <w:jc w:val="both"/>
      </w:pPr>
      <w:r>
        <w:t xml:space="preserve">Контрольно-счетный комитет провел сверку плана-сметы МБУ «Молодежный центр» на 2017 год по разделу «Организация культурно-массовых и иных мероприятий» согласованный с Учредителем, Отчета об исполнении муниципального задания за 2017 год по разделу «Организация культурно-массовых и иных мероприятий в г. Сегежи» использовав авансовые отчеты сотрудников, ответственных за проведение культурно-массовых мероприятий, журнал операций №3 расчетов с подотчетными лицами, журнал операций №4 расчетов с поставщиками и подрядчиками, фото-отчеты размещенные на официальном сайте Учреждения. </w:t>
      </w:r>
      <w:r w:rsidRPr="00A71A29">
        <w:t>Проведенный в ходе контрольного мероприятия анализ показал</w:t>
      </w:r>
      <w:r>
        <w:t>:</w:t>
      </w:r>
    </w:p>
    <w:p w:rsidR="005B08AD" w:rsidRDefault="005B08AD" w:rsidP="005B08AD">
      <w:pPr>
        <w:ind w:firstLine="709"/>
        <w:jc w:val="both"/>
      </w:pPr>
      <w:r>
        <w:t>- количество проведенных мероприятий соответствует отчету об исполнении муниципального задания;</w:t>
      </w:r>
    </w:p>
    <w:p w:rsidR="005B08AD" w:rsidRPr="00A71A29" w:rsidRDefault="005B08AD" w:rsidP="005B08AD">
      <w:pPr>
        <w:ind w:firstLine="709"/>
        <w:jc w:val="both"/>
      </w:pPr>
      <w:r>
        <w:t>- фото-отчеты есть не по всем проведенным мероприятиям, поэтому подтвердить количество участников мероприятий не представляется возможным.</w:t>
      </w:r>
    </w:p>
    <w:p w:rsidR="005B08AD" w:rsidRDefault="005B08AD" w:rsidP="005B08AD">
      <w:pPr>
        <w:ind w:firstLine="709"/>
        <w:jc w:val="both"/>
      </w:pPr>
      <w:r w:rsidRPr="00177C0E">
        <w:t xml:space="preserve">В МБУ «Молодежный центр» ведется </w:t>
      </w:r>
      <w:r>
        <w:t>К</w:t>
      </w:r>
      <w:r w:rsidRPr="00177C0E">
        <w:t xml:space="preserve">нига жалоб и предложений на качество услуг. Книга жалоб и предложений прошита, пронумерована, скреплена подписью директора и печатью МБУ «Молодежный центр». </w:t>
      </w:r>
      <w:r>
        <w:t>К</w:t>
      </w:r>
      <w:r w:rsidRPr="00177C0E">
        <w:t>нига жалоб и предложений</w:t>
      </w:r>
      <w:r>
        <w:t xml:space="preserve"> находится в кассе учреждения и выдается по первому требованию посетителей. За проверяемый период:</w:t>
      </w:r>
    </w:p>
    <w:p w:rsidR="005B08AD" w:rsidRDefault="005B08AD" w:rsidP="005B08AD">
      <w:pPr>
        <w:ind w:firstLine="709"/>
        <w:jc w:val="both"/>
      </w:pPr>
      <w:r>
        <w:t>- 64 благодарности за услуги предоставляемые Учреждением;</w:t>
      </w:r>
    </w:p>
    <w:p w:rsidR="005B08AD" w:rsidRDefault="005B08AD" w:rsidP="005B08AD">
      <w:pPr>
        <w:ind w:firstLine="709"/>
        <w:jc w:val="both"/>
      </w:pPr>
      <w:r>
        <w:t>-  4 предложения на улучшение качества обслуживания посетителей;</w:t>
      </w:r>
    </w:p>
    <w:p w:rsidR="005B08AD" w:rsidRPr="007A58DC" w:rsidRDefault="005B08AD" w:rsidP="005B08AD">
      <w:pPr>
        <w:ind w:firstLine="709"/>
        <w:jc w:val="both"/>
      </w:pPr>
      <w:r>
        <w:t xml:space="preserve">- 1 жалоба на технический сбой в процессе кинопоказа. </w:t>
      </w:r>
    </w:p>
    <w:p w:rsidR="005B08AD" w:rsidRDefault="005B08AD" w:rsidP="005B08AD">
      <w:pPr>
        <w:ind w:firstLine="709"/>
        <w:jc w:val="both"/>
        <w:rPr>
          <w:u w:val="single"/>
        </w:rPr>
      </w:pPr>
    </w:p>
    <w:p w:rsidR="005B08AD" w:rsidRPr="00A71E89" w:rsidRDefault="005B08AD" w:rsidP="005B08AD">
      <w:pPr>
        <w:ind w:firstLine="709"/>
        <w:jc w:val="both"/>
        <w:rPr>
          <w:u w:val="single"/>
        </w:rPr>
      </w:pPr>
      <w:r>
        <w:rPr>
          <w:u w:val="single"/>
        </w:rPr>
        <w:t>Все э</w:t>
      </w:r>
      <w:r w:rsidRPr="00A71E89">
        <w:rPr>
          <w:u w:val="single"/>
        </w:rPr>
        <w:t xml:space="preserve">то говорит о востребованности </w:t>
      </w:r>
      <w:r>
        <w:rPr>
          <w:u w:val="single"/>
        </w:rPr>
        <w:t>культурно-массовых</w:t>
      </w:r>
      <w:r w:rsidRPr="00A71E89">
        <w:rPr>
          <w:u w:val="single"/>
        </w:rPr>
        <w:t xml:space="preserve"> мероприятий, об интересе жителей г. Сегежи к мероприятиям, проводимым МБУ «Молодежный центр».</w:t>
      </w:r>
    </w:p>
    <w:p w:rsidR="005B08AD" w:rsidRDefault="005B08AD" w:rsidP="005B08AD">
      <w:pPr>
        <w:ind w:firstLine="709"/>
        <w:jc w:val="both"/>
      </w:pPr>
    </w:p>
    <w:p w:rsidR="005B08AD" w:rsidRPr="00B53753" w:rsidRDefault="005B08AD" w:rsidP="005B08AD">
      <w:pPr>
        <w:pStyle w:val="af0"/>
        <w:tabs>
          <w:tab w:val="left" w:pos="2676"/>
        </w:tabs>
        <w:jc w:val="center"/>
        <w:rPr>
          <w:b/>
        </w:rPr>
      </w:pPr>
      <w:r w:rsidRPr="00B53753">
        <w:rPr>
          <w:b/>
        </w:rPr>
        <w:t>3. Расчеты с подотчетными лицами</w:t>
      </w:r>
    </w:p>
    <w:p w:rsidR="005B08AD" w:rsidRPr="00AF46D2" w:rsidRDefault="005B08AD" w:rsidP="005B08AD">
      <w:pPr>
        <w:ind w:firstLine="709"/>
        <w:jc w:val="both"/>
      </w:pPr>
      <w:r w:rsidRPr="00AF46D2">
        <w:t>При проверке правильности ведения бухгалтерского учета операций по расчетам с подотчетными лицами, связанных с приобретением материальных запасов, оплатой оказанных услуг были проверены представленные авансовые отчеты с подтверждающими документами, журнал операций № 3 за 2017 год.</w:t>
      </w:r>
    </w:p>
    <w:p w:rsidR="005B08AD" w:rsidRPr="00AF46D2" w:rsidRDefault="005B08AD" w:rsidP="005B08AD">
      <w:pPr>
        <w:ind w:firstLine="709"/>
        <w:jc w:val="both"/>
      </w:pPr>
      <w:r w:rsidRPr="00AF46D2">
        <w:t>Список должностных лиц,  имеющих право на получение денежных средств под отчет  на приобретение материальных запасов, определен Учетной политикой. Случаев выдачи денежных средств под отчет лицам, не состоящим в штате учреждения, не установлено.</w:t>
      </w:r>
    </w:p>
    <w:p w:rsidR="005B08AD" w:rsidRPr="00AF46D2" w:rsidRDefault="005B08AD" w:rsidP="005B08AD">
      <w:pPr>
        <w:ind w:firstLine="709"/>
        <w:jc w:val="both"/>
        <w:rPr>
          <w:highlight w:val="yellow"/>
        </w:rPr>
      </w:pPr>
      <w:r w:rsidRPr="00AF46D2">
        <w:t xml:space="preserve">Порядок списания подотчетных сумм </w:t>
      </w:r>
      <w:r w:rsidRPr="00AF46D2">
        <w:rPr>
          <w:u w:val="single"/>
        </w:rPr>
        <w:t>должен быть</w:t>
      </w:r>
      <w:r w:rsidRPr="00AF46D2">
        <w:t xml:space="preserve"> определен   в Учетной политике учреждения. </w:t>
      </w:r>
      <w:r w:rsidRPr="00AF46D2">
        <w:rPr>
          <w:highlight w:val="yellow"/>
        </w:rPr>
        <w:t xml:space="preserve">   </w:t>
      </w:r>
    </w:p>
    <w:p w:rsidR="005B08AD" w:rsidRPr="00AF46D2" w:rsidRDefault="005B08AD" w:rsidP="005B08AD">
      <w:pPr>
        <w:pStyle w:val="Default"/>
        <w:ind w:firstLine="709"/>
        <w:jc w:val="both"/>
      </w:pPr>
      <w:r w:rsidRPr="00AF46D2">
        <w:t>В соответствии с Приказом Минфина России от 30.03.2015 N 52н (ред. от 17.11.2017)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(Зарегистрировано в Минюсте России 02.06.2015 N 37519) Учреждением применяется форма Авансового отчета Ф.0504505.</w:t>
      </w:r>
    </w:p>
    <w:p w:rsidR="005B08AD" w:rsidRPr="00AF46D2" w:rsidRDefault="005B08AD" w:rsidP="005B08AD">
      <w:pPr>
        <w:ind w:firstLine="709"/>
        <w:jc w:val="both"/>
      </w:pPr>
      <w:r w:rsidRPr="00AF46D2">
        <w:t>Проверкой расчетов с подотчетными лицами установлено следующее:</w:t>
      </w:r>
    </w:p>
    <w:p w:rsidR="005B08AD" w:rsidRPr="00AF46D2" w:rsidRDefault="005B08AD" w:rsidP="005B08AD">
      <w:pPr>
        <w:ind w:firstLine="709"/>
        <w:jc w:val="both"/>
      </w:pPr>
      <w:r w:rsidRPr="00AF46D2">
        <w:t xml:space="preserve">- в соответствии с  пунктом 6.3 Указания Центрального Банка Российской Федерации от 11 марта 2014 года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выдача наличных средств осуществлялась по письменным заявлениям подотчетных лиц с наложением визы руководителя; </w:t>
      </w:r>
    </w:p>
    <w:p w:rsidR="005B08AD" w:rsidRPr="00AF46D2" w:rsidRDefault="005B08AD" w:rsidP="005B08AD">
      <w:pPr>
        <w:ind w:firstLine="709"/>
        <w:jc w:val="both"/>
      </w:pPr>
      <w:r w:rsidRPr="00AF46D2">
        <w:t>- к бухгалтерскому учету принимаются авансовые отчеты, только утвержденные руководителем;</w:t>
      </w:r>
    </w:p>
    <w:p w:rsidR="005B08AD" w:rsidRPr="00AF46D2" w:rsidRDefault="005B08AD" w:rsidP="005B08AD">
      <w:pPr>
        <w:ind w:firstLine="709"/>
        <w:jc w:val="both"/>
      </w:pPr>
      <w:r w:rsidRPr="00AF46D2">
        <w:t xml:space="preserve">- авансовые отчеты, в хронологическом порядке подобраны; </w:t>
      </w:r>
    </w:p>
    <w:p w:rsidR="005B08AD" w:rsidRPr="00AF46D2" w:rsidRDefault="005B08AD" w:rsidP="005B08AD">
      <w:pPr>
        <w:ind w:firstLine="709"/>
        <w:jc w:val="both"/>
      </w:pPr>
      <w:r w:rsidRPr="00AF46D2">
        <w:t>- в авансовых отчетах проставляется дата  получения аванса;</w:t>
      </w:r>
    </w:p>
    <w:p w:rsidR="005B08AD" w:rsidRPr="00AF46D2" w:rsidRDefault="005B08AD" w:rsidP="005B08AD">
      <w:pPr>
        <w:ind w:firstLine="709"/>
        <w:jc w:val="both"/>
      </w:pPr>
      <w:r w:rsidRPr="00AF46D2">
        <w:t xml:space="preserve">-   заполняются сведения о дате выдачи перерасхода, </w:t>
      </w:r>
    </w:p>
    <w:p w:rsidR="005B08AD" w:rsidRPr="00AF46D2" w:rsidRDefault="005B08AD" w:rsidP="005B08AD">
      <w:pPr>
        <w:ind w:firstLine="709"/>
        <w:jc w:val="both"/>
      </w:pPr>
      <w:r w:rsidRPr="00AF46D2">
        <w:t xml:space="preserve">- дата авансового отчета соответствует дате отражения данного авансового отчета в журнале операций № 3 за </w:t>
      </w:r>
      <w:r>
        <w:t>проверяемый период</w:t>
      </w:r>
      <w:r w:rsidRPr="00AF46D2">
        <w:t xml:space="preserve">;  </w:t>
      </w:r>
    </w:p>
    <w:p w:rsidR="005B08AD" w:rsidRPr="00AF46D2" w:rsidRDefault="005B08AD" w:rsidP="005B08AD">
      <w:pPr>
        <w:ind w:firstLine="709"/>
        <w:jc w:val="both"/>
      </w:pPr>
      <w:r w:rsidRPr="00AF46D2">
        <w:t xml:space="preserve">- не установлены случаи выдачи </w:t>
      </w:r>
      <w:r>
        <w:t>денежных средств</w:t>
      </w:r>
      <w:r w:rsidRPr="00AF46D2">
        <w:t xml:space="preserve"> под отчет при наличии задолженности по предыдущему авансу.</w:t>
      </w:r>
    </w:p>
    <w:p w:rsidR="005B08AD" w:rsidRPr="00A71A29" w:rsidRDefault="005B08AD" w:rsidP="005B08AD">
      <w:pPr>
        <w:shd w:val="clear" w:color="auto" w:fill="FFFFFF"/>
        <w:ind w:firstLine="709"/>
        <w:jc w:val="both"/>
        <w:rPr>
          <w:u w:val="single"/>
        </w:rPr>
      </w:pPr>
      <w:r w:rsidRPr="005631CE">
        <w:t>При проверке первичных документов сделать вывод об эффективности использования субсидии на проведение культурно-массовых мероприятий не представляется возможным. Так порядок оформления</w:t>
      </w:r>
      <w:r>
        <w:t>,</w:t>
      </w:r>
      <w:r w:rsidRPr="005631CE">
        <w:t xml:space="preserve"> списания призов и подарков, израсходованных при проведении публичных массовых мероприятий, а также </w:t>
      </w:r>
      <w:r w:rsidRPr="00A71A29">
        <w:rPr>
          <w:u w:val="single"/>
        </w:rPr>
        <w:t>перечень документов, подтверждающих обоснованность произведенных расходов, не  установлены в рамках формирования учетной политики учреждения.</w:t>
      </w:r>
    </w:p>
    <w:p w:rsidR="005B08AD" w:rsidRDefault="005B08AD" w:rsidP="005B08AD">
      <w:pPr>
        <w:ind w:firstLine="709"/>
        <w:jc w:val="both"/>
      </w:pPr>
      <w:r w:rsidRPr="00DD5547">
        <w:t>Согласно ст. 345 Инструкции, утвержденной приказом Минфина России от 01.12.2010 года № 157н приобретенная подарочная и сувенирная продукция</w:t>
      </w:r>
      <w:r>
        <w:t xml:space="preserve"> ставится на забалансовый учет.</w:t>
      </w:r>
    </w:p>
    <w:p w:rsidR="005B08AD" w:rsidRPr="002E7FFC" w:rsidRDefault="005B08AD" w:rsidP="005B08AD">
      <w:pPr>
        <w:ind w:firstLine="709"/>
        <w:jc w:val="both"/>
        <w:rPr>
          <w:bCs/>
        </w:rPr>
      </w:pPr>
      <w:r w:rsidRPr="002E7FFC">
        <w:t>В Учреждении о</w:t>
      </w:r>
      <w:r w:rsidRPr="002E7FFC">
        <w:rPr>
          <w:bCs/>
        </w:rPr>
        <w:t>тсутствует количественно-суммового учет подарков</w:t>
      </w:r>
      <w:r>
        <w:rPr>
          <w:bCs/>
        </w:rPr>
        <w:t xml:space="preserve"> приобретенные на проведение культурно-массовых мероприятиях</w:t>
      </w:r>
      <w:r w:rsidRPr="002E7FFC">
        <w:rPr>
          <w:bCs/>
        </w:rPr>
        <w:t xml:space="preserve"> на забалансовом счете 07 "Переходящие награды, призы, кубки и ценные подарки, сувениры", что следует считать нарушением.</w:t>
      </w:r>
    </w:p>
    <w:p w:rsidR="005B08AD" w:rsidRPr="002E7FFC" w:rsidRDefault="005B08AD" w:rsidP="005B08A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FFC">
        <w:rPr>
          <w:bCs/>
        </w:rPr>
        <w:t xml:space="preserve">При списании врученных подарков факт вручения должен быть подтвержден документально. Если подарки вручались пофамильно, подтверждением может служить соответствующая ведомость. В случае если подарки вручались "всем пришедшим на мероприятие", основанием могут служить фото- и видеоматериалы, подтверждающие дату вручения, вид подарков и количество получающих. </w:t>
      </w:r>
    </w:p>
    <w:p w:rsidR="005B08AD" w:rsidRPr="002E7FFC" w:rsidRDefault="005B08AD" w:rsidP="005B08A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FFC">
        <w:rPr>
          <w:bCs/>
        </w:rPr>
        <w:t>Списание подарков допускается только в объеме документально подтвержденных фактически врученных подарков.</w:t>
      </w:r>
    </w:p>
    <w:p w:rsidR="005B08AD" w:rsidRPr="00241356" w:rsidRDefault="005B08AD" w:rsidP="005B08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Д</w:t>
      </w:r>
      <w:r w:rsidRPr="00241356">
        <w:rPr>
          <w:rFonts w:ascii="Times New Roman" w:hAnsi="Times New Roman" w:cs="Times New Roman"/>
          <w:sz w:val="24"/>
          <w:szCs w:val="24"/>
        </w:rPr>
        <w:t xml:space="preserve">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241356">
        <w:rPr>
          <w:rFonts w:ascii="Times New Roman" w:hAnsi="Times New Roman" w:cs="Times New Roman"/>
          <w:sz w:val="24"/>
          <w:szCs w:val="24"/>
        </w:rPr>
        <w:t>праздничных мероприятий материальные ценности расходуются самим учреждением, например для оформления (воздушные шары, ленточки, флажки и т.д.)</w:t>
      </w:r>
      <w:r>
        <w:t>.</w:t>
      </w:r>
      <w:r w:rsidRPr="00BC2E23">
        <w:t xml:space="preserve"> </w:t>
      </w:r>
      <w:r w:rsidRPr="00241356">
        <w:rPr>
          <w:rFonts w:ascii="Times New Roman" w:hAnsi="Times New Roman" w:cs="Times New Roman"/>
          <w:sz w:val="24"/>
          <w:szCs w:val="24"/>
        </w:rPr>
        <w:t xml:space="preserve">Поскольку такое имущество используется (расходуется) самим учреждением, такие расходы не могут быть отнесены к </w:t>
      </w:r>
      <w:hyperlink r:id="rId9" w:history="1">
        <w:r w:rsidRPr="00390AD3">
          <w:rPr>
            <w:rFonts w:ascii="Times New Roman" w:hAnsi="Times New Roman" w:cs="Times New Roman"/>
            <w:sz w:val="24"/>
            <w:szCs w:val="24"/>
          </w:rPr>
          <w:t>статье 290</w:t>
        </w:r>
      </w:hyperlink>
      <w:r w:rsidRPr="00241356">
        <w:rPr>
          <w:rFonts w:ascii="Times New Roman" w:hAnsi="Times New Roman" w:cs="Times New Roman"/>
          <w:sz w:val="24"/>
          <w:szCs w:val="24"/>
        </w:rPr>
        <w:t xml:space="preserve"> "Прочие расходы" КОСГУ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8AD" w:rsidRPr="00CF6121" w:rsidRDefault="005B08AD" w:rsidP="005B08AD">
      <w:pPr>
        <w:pStyle w:val="af1"/>
        <w:spacing w:before="0" w:beforeAutospacing="0" w:after="0" w:afterAutospacing="0"/>
        <w:ind w:firstLine="709"/>
        <w:jc w:val="both"/>
      </w:pPr>
      <w:r w:rsidRPr="00CF6121">
        <w:t>1. Для организации и проведения митинга 09.05.2017г. «Будем помнить» в День Победы приобретены венок, лента, воздушные шары, цветы (авансовый отчет №54 от 31.05.2017г.), которые были возложены к братской могиле согласно Акту, утвержденному директором МБУ «Молодежный центр» на сумму 6542,20 рублей.</w:t>
      </w:r>
    </w:p>
    <w:p w:rsidR="005B08AD" w:rsidRPr="00CF6121" w:rsidRDefault="005B08AD" w:rsidP="005B08AD">
      <w:pPr>
        <w:pStyle w:val="af1"/>
        <w:spacing w:before="0" w:beforeAutospacing="0" w:after="0" w:afterAutospacing="0"/>
        <w:ind w:firstLine="709"/>
        <w:jc w:val="both"/>
      </w:pPr>
      <w:r w:rsidRPr="00CF6121">
        <w:t xml:space="preserve">2. Для организации мероприятия «День города (Фестиваль красок Холл) приобретены краски по товарной накладной №1 от 07.06.2017 на сумму 19250,00 рублей. В представленном Акте о целевом расходовании бюджетных средств на общую сумму 36039,50 рублей, утвержденного директором Учреждения отсутствует дата составления Акта, отсутствуют даты проведения шести мероприятий указанных в Акте, что говорит о формальном подходе к оформлению Актов.  </w:t>
      </w:r>
      <w:r>
        <w:t>Акт подписан сотрудником не входящим в состав комиссии по списанию материальных ценностей, приобретенных для проведения культурно-мас</w:t>
      </w:r>
      <w:r w:rsidR="00A90A2C">
        <w:t>совых мероприятий.</w:t>
      </w:r>
    </w:p>
    <w:p w:rsidR="005B08AD" w:rsidRDefault="005B08AD" w:rsidP="005B0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121">
        <w:rPr>
          <w:rFonts w:ascii="Times New Roman" w:hAnsi="Times New Roman" w:cs="Times New Roman"/>
          <w:sz w:val="24"/>
          <w:szCs w:val="24"/>
        </w:rPr>
        <w:t xml:space="preserve">Согласно учетным регистрам бухгалтерского учета  бухгалтер учреждения использовал статью 290 КОСГУ. </w:t>
      </w:r>
    </w:p>
    <w:p w:rsidR="003638B4" w:rsidRPr="003638B4" w:rsidRDefault="003638B4" w:rsidP="005B0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8B4">
        <w:rPr>
          <w:rFonts w:ascii="Times New Roman" w:hAnsi="Times New Roman" w:cs="Times New Roman"/>
          <w:color w:val="000000"/>
          <w:sz w:val="24"/>
          <w:szCs w:val="24"/>
        </w:rPr>
        <w:t>Пунктом 345 Инструкции № 157н установлено, что материальные ценности, приобретаемые в целях награждения (дарения), в т. ч. ценные подарки и сувениры, подлежат учету на забалансовом счете 07 «Награды, призы, кубки и ценные подарки, сувениры» по стоимости их приобретения. Исходя из этого, любые подарки и сувениры, вручаемые участникам праздничного мероприятия, могут быть оплачены по статье 290 КОСГУ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8B4" w:rsidRDefault="003638B4" w:rsidP="005B08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8B4">
        <w:rPr>
          <w:rFonts w:ascii="Times New Roman" w:hAnsi="Times New Roman" w:cs="Times New Roman"/>
          <w:color w:val="000000"/>
          <w:sz w:val="24"/>
          <w:szCs w:val="24"/>
        </w:rPr>
        <w:t>На статью 290 КОСГУ относятся только расходы по приобретению продукции, изначально предназначенной для дарения. Под дарением понимается безвозмездная передача имущества другому лицу в полное владение без каких-либо условий его дальнейшего использования.</w:t>
      </w:r>
    </w:p>
    <w:p w:rsidR="005B08AD" w:rsidRPr="00CF6121" w:rsidRDefault="003638B4" w:rsidP="005B0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8B4">
        <w:rPr>
          <w:rFonts w:ascii="Times New Roman" w:hAnsi="Times New Roman" w:cs="Times New Roman"/>
          <w:color w:val="000000"/>
          <w:sz w:val="24"/>
          <w:szCs w:val="24"/>
        </w:rPr>
        <w:t>Если учреждение для проведения праздничного мероприятия приобретает материальные ценности, которые не предполагается использовать в качестве подарков и сувениров, оснований для применения статьи 290 КОСГУ нет. Расходы должны относиться на коды КОСГУ в зависимости от их экономического содержания, т. к. они производятся для нужд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B08AD" w:rsidRPr="00CF6121">
        <w:rPr>
          <w:rFonts w:ascii="Times New Roman" w:hAnsi="Times New Roman" w:cs="Times New Roman"/>
          <w:sz w:val="24"/>
          <w:szCs w:val="24"/>
        </w:rPr>
        <w:t xml:space="preserve">согласно нормам учета и бюджетной классификации относятся к статье </w:t>
      </w:r>
      <w:hyperlink r:id="rId10" w:history="1">
        <w:r w:rsidR="005B08AD" w:rsidRPr="00CF6121">
          <w:rPr>
            <w:rFonts w:ascii="Times New Roman" w:hAnsi="Times New Roman" w:cs="Times New Roman"/>
            <w:sz w:val="24"/>
            <w:szCs w:val="24"/>
          </w:rPr>
          <w:t>340</w:t>
        </w:r>
      </w:hyperlink>
      <w:r w:rsidR="005B08AD" w:rsidRPr="00CF6121">
        <w:rPr>
          <w:rFonts w:ascii="Times New Roman" w:hAnsi="Times New Roman" w:cs="Times New Roman"/>
          <w:sz w:val="24"/>
          <w:szCs w:val="24"/>
        </w:rPr>
        <w:t xml:space="preserve"> "Увеличение стоимости материальных запасов" КОСГУ. Списывать материалы нужно </w:t>
      </w:r>
      <w:r w:rsidR="005B08AD" w:rsidRPr="00CF6121">
        <w:rPr>
          <w:rFonts w:ascii="Times New Roman" w:hAnsi="Times New Roman" w:cs="Times New Roman"/>
          <w:sz w:val="24"/>
          <w:szCs w:val="24"/>
          <w:u w:val="single"/>
        </w:rPr>
        <w:t>в соответствии с учетной политикой учреждения</w:t>
      </w:r>
      <w:r w:rsidR="005B08AD" w:rsidRPr="00CF6121">
        <w:rPr>
          <w:rFonts w:ascii="Times New Roman" w:hAnsi="Times New Roman" w:cs="Times New Roman"/>
          <w:sz w:val="24"/>
          <w:szCs w:val="24"/>
        </w:rPr>
        <w:t xml:space="preserve"> или по окончанию мероприятия.</w:t>
      </w:r>
    </w:p>
    <w:p w:rsidR="005B08AD" w:rsidRDefault="003020DC" w:rsidP="005B0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8AD">
        <w:rPr>
          <w:rFonts w:ascii="Times New Roman" w:hAnsi="Times New Roman" w:cs="Times New Roman"/>
          <w:sz w:val="24"/>
          <w:szCs w:val="24"/>
        </w:rPr>
        <w:t xml:space="preserve">. Учреждением заключен договор №б/н от 05.06.2017 с ООО «Рапид» на услуги по доставке участников мероприятия </w:t>
      </w:r>
      <w:r w:rsidR="005B08AD" w:rsidRPr="00241356">
        <w:rPr>
          <w:rFonts w:ascii="Times New Roman" w:hAnsi="Times New Roman" w:cs="Times New Roman"/>
          <w:sz w:val="24"/>
          <w:szCs w:val="24"/>
        </w:rPr>
        <w:t>автотранспортом</w:t>
      </w:r>
      <w:r w:rsidR="005B08AD">
        <w:rPr>
          <w:rFonts w:ascii="Times New Roman" w:hAnsi="Times New Roman" w:cs="Times New Roman"/>
          <w:sz w:val="24"/>
          <w:szCs w:val="24"/>
        </w:rPr>
        <w:t xml:space="preserve"> на сумму 15000,00 рублей. Р</w:t>
      </w:r>
      <w:r w:rsidR="005B08AD" w:rsidRPr="00241356">
        <w:rPr>
          <w:rFonts w:ascii="Times New Roman" w:hAnsi="Times New Roman" w:cs="Times New Roman"/>
          <w:sz w:val="24"/>
          <w:szCs w:val="24"/>
        </w:rPr>
        <w:t xml:space="preserve">асходы на доставку участников праздничного мероприятия </w:t>
      </w:r>
      <w:r w:rsidR="005B08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B08AD" w:rsidRPr="00AB6BE2">
        <w:rPr>
          <w:rFonts w:ascii="Times New Roman" w:hAnsi="Times New Roman" w:cs="Times New Roman"/>
          <w:sz w:val="24"/>
          <w:szCs w:val="24"/>
        </w:rPr>
        <w:t>Приказ</w:t>
      </w:r>
      <w:r w:rsidR="005B08AD">
        <w:rPr>
          <w:rFonts w:ascii="Times New Roman" w:hAnsi="Times New Roman" w:cs="Times New Roman"/>
          <w:sz w:val="24"/>
          <w:szCs w:val="24"/>
        </w:rPr>
        <w:t>ом</w:t>
      </w:r>
      <w:r w:rsidR="005B08AD" w:rsidRPr="00AB6BE2">
        <w:rPr>
          <w:rFonts w:ascii="Times New Roman" w:hAnsi="Times New Roman" w:cs="Times New Roman"/>
          <w:sz w:val="24"/>
          <w:szCs w:val="24"/>
        </w:rPr>
        <w:t xml:space="preserve"> Минфина России от 01.07.2013 N 65н (ред. от 27.12.2017) "Об утверждении Указаний о порядке применения бюджетной классификации Российской Федерации" </w:t>
      </w:r>
      <w:r w:rsidR="005B08AD" w:rsidRPr="00241356">
        <w:rPr>
          <w:rFonts w:ascii="Times New Roman" w:hAnsi="Times New Roman" w:cs="Times New Roman"/>
          <w:sz w:val="24"/>
          <w:szCs w:val="24"/>
        </w:rPr>
        <w:t xml:space="preserve">относятся на </w:t>
      </w:r>
      <w:r w:rsidR="005B08AD">
        <w:rPr>
          <w:rFonts w:ascii="Times New Roman" w:hAnsi="Times New Roman" w:cs="Times New Roman"/>
          <w:sz w:val="24"/>
          <w:szCs w:val="24"/>
        </w:rPr>
        <w:t>под</w:t>
      </w:r>
      <w:hyperlink r:id="rId11" w:history="1">
        <w:r w:rsidR="005B08AD" w:rsidRPr="00662887">
          <w:rPr>
            <w:rFonts w:ascii="Times New Roman" w:hAnsi="Times New Roman" w:cs="Times New Roman"/>
            <w:sz w:val="24"/>
            <w:szCs w:val="24"/>
          </w:rPr>
          <w:t>статью 222</w:t>
        </w:r>
      </w:hyperlink>
      <w:r w:rsidR="005B08AD" w:rsidRPr="00241356">
        <w:rPr>
          <w:rFonts w:ascii="Times New Roman" w:hAnsi="Times New Roman" w:cs="Times New Roman"/>
          <w:sz w:val="24"/>
          <w:szCs w:val="24"/>
        </w:rPr>
        <w:t xml:space="preserve"> "Транспортные услуги" КОСГУ</w:t>
      </w:r>
      <w:r w:rsidR="005B08AD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B08AD" w:rsidRPr="002E7FFC">
        <w:rPr>
          <w:rFonts w:ascii="Times New Roman" w:hAnsi="Times New Roman" w:cs="Times New Roman"/>
          <w:sz w:val="24"/>
          <w:szCs w:val="24"/>
        </w:rPr>
        <w:t>учетным регистрам бухгалтерского учета  бухгалтер учреждения</w:t>
      </w:r>
      <w:r w:rsidR="00A90A2C">
        <w:rPr>
          <w:rFonts w:ascii="Times New Roman" w:hAnsi="Times New Roman" w:cs="Times New Roman"/>
          <w:sz w:val="24"/>
          <w:szCs w:val="24"/>
        </w:rPr>
        <w:t xml:space="preserve"> использовал подстатью 226.</w:t>
      </w:r>
    </w:p>
    <w:p w:rsidR="005B08AD" w:rsidRDefault="005B08AD" w:rsidP="005B0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8AD" w:rsidRDefault="005B08AD" w:rsidP="005B0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9A">
        <w:rPr>
          <w:rFonts w:ascii="Times New Roman" w:hAnsi="Times New Roman" w:cs="Times New Roman"/>
          <w:sz w:val="24"/>
          <w:szCs w:val="24"/>
          <w:u w:val="single"/>
        </w:rPr>
        <w:t>Неправильное отражение вида расхода в учетном регистре</w:t>
      </w:r>
      <w:r w:rsidRPr="002E7FFC">
        <w:rPr>
          <w:rFonts w:ascii="Times New Roman" w:hAnsi="Times New Roman" w:cs="Times New Roman"/>
          <w:sz w:val="24"/>
          <w:szCs w:val="24"/>
        </w:rPr>
        <w:t xml:space="preserve"> наглядно свидетельствует, что бухгалтер неправильно понял суть произведенных расходов и, как следствие, допустил целый ряд ошибок: неправильно выбрал статью </w:t>
      </w:r>
      <w:hyperlink r:id="rId12" w:history="1">
        <w:r w:rsidRPr="00390AD3">
          <w:rPr>
            <w:rFonts w:ascii="Times New Roman" w:hAnsi="Times New Roman" w:cs="Times New Roman"/>
            <w:sz w:val="24"/>
            <w:szCs w:val="24"/>
          </w:rPr>
          <w:t>КОСГУ</w:t>
        </w:r>
      </w:hyperlink>
      <w:r w:rsidRPr="002E7FFC">
        <w:rPr>
          <w:rFonts w:ascii="Times New Roman" w:hAnsi="Times New Roman" w:cs="Times New Roman"/>
          <w:sz w:val="24"/>
          <w:szCs w:val="24"/>
        </w:rPr>
        <w:t xml:space="preserve"> на часть расходов, не отразил материальные ценности в количественно-суммовом учете.</w:t>
      </w:r>
    </w:p>
    <w:p w:rsidR="005B08AD" w:rsidRDefault="005B08AD" w:rsidP="005B08AD">
      <w:pPr>
        <w:pStyle w:val="af1"/>
        <w:spacing w:before="0" w:beforeAutospacing="0" w:after="0" w:afterAutospacing="0"/>
        <w:jc w:val="both"/>
      </w:pPr>
    </w:p>
    <w:p w:rsidR="005B08AD" w:rsidRPr="00892E0D" w:rsidRDefault="005B08AD" w:rsidP="005B08AD">
      <w:pPr>
        <w:pStyle w:val="af1"/>
        <w:spacing w:before="0" w:beforeAutospacing="0" w:after="0" w:afterAutospacing="0"/>
        <w:ind w:firstLine="709"/>
        <w:jc w:val="both"/>
      </w:pPr>
      <w:r w:rsidRPr="00892E0D">
        <w:t>В ходе проведения сверки представленных авансовых отчетов с данными бухгалтерского учета путем сличения отражения данных авансовых отчетов в регистрах бухгалтерского учета нарушения не установлены.</w:t>
      </w:r>
    </w:p>
    <w:p w:rsidR="005B08AD" w:rsidRDefault="005B08AD" w:rsidP="007E1281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bCs/>
        </w:rPr>
      </w:pPr>
    </w:p>
    <w:p w:rsidR="00C03866" w:rsidRDefault="00C03866" w:rsidP="00C03866">
      <w:pPr>
        <w:tabs>
          <w:tab w:val="left" w:pos="2676"/>
        </w:tabs>
        <w:jc w:val="both"/>
        <w:rPr>
          <w:b/>
          <w:sz w:val="26"/>
          <w:szCs w:val="26"/>
        </w:rPr>
      </w:pPr>
      <w:r w:rsidRPr="00993C86">
        <w:rPr>
          <w:b/>
          <w:sz w:val="26"/>
          <w:szCs w:val="26"/>
        </w:rPr>
        <w:t>Выводы:</w:t>
      </w:r>
    </w:p>
    <w:p w:rsidR="00ED213E" w:rsidRDefault="00ED213E" w:rsidP="00ED213E">
      <w:pPr>
        <w:ind w:firstLine="709"/>
        <w:jc w:val="both"/>
      </w:pPr>
      <w:r w:rsidRPr="00405333">
        <w:t>1. В соответствии с Соглашением №243/16-5 от 30.12.2016 года о предоставлении целевой субсидии на финансовое обеспечение выполнения муниципального задания муниципальным бюджетным учреждением «Молодежный центр» и дополнительным Соглашением размер субсидии составил 9 820,4 тыс. рублей, в том числе 553,2 тыс. рублей на организацию деятельности клубных формирований, культурно-массовых и иных мероприятий.</w:t>
      </w:r>
    </w:p>
    <w:p w:rsidR="00ED213E" w:rsidRDefault="00ED213E" w:rsidP="00ED213E">
      <w:pPr>
        <w:ind w:firstLine="709"/>
        <w:jc w:val="both"/>
      </w:pPr>
      <w:r>
        <w:t>2.</w:t>
      </w:r>
      <w:r w:rsidRPr="00405333">
        <w:t xml:space="preserve"> </w:t>
      </w:r>
      <w:r>
        <w:t xml:space="preserve">Согласно отчета об исполнении муниципального задания за 2017 г. Раздела 3 </w:t>
      </w:r>
      <w:r w:rsidRPr="00242767">
        <w:t>организация культульно-массовых мероприятий в г. Сегежи проведено 94 мероприятий, в</w:t>
      </w:r>
      <w:r>
        <w:t xml:space="preserve"> которых участвовало 16781 человек, что превысило плановый показатель 2,2 раза (7729 человек). При плане совместных проводимых мероприятий 40, проведено – 53. Доход от организации и проведения мероприятий превысил план на 58,25 тыс. рублей или на 20,0% и составил 349,5 тыс. рублей.</w:t>
      </w:r>
    </w:p>
    <w:p w:rsidR="00ED213E" w:rsidRDefault="00ED213E" w:rsidP="00ED213E">
      <w:pPr>
        <w:ind w:firstLine="709"/>
        <w:jc w:val="both"/>
      </w:pPr>
      <w:r>
        <w:t>3.</w:t>
      </w:r>
      <w:r w:rsidRPr="00405333">
        <w:t xml:space="preserve"> </w:t>
      </w:r>
      <w:r w:rsidRPr="00A71A29">
        <w:t>Проведенный в ходе контрольного мероприятия анализ показал</w:t>
      </w:r>
      <w:r>
        <w:t>:</w:t>
      </w:r>
    </w:p>
    <w:p w:rsidR="00ED213E" w:rsidRDefault="00ED213E" w:rsidP="00ED213E">
      <w:pPr>
        <w:ind w:firstLine="709"/>
        <w:jc w:val="both"/>
      </w:pPr>
      <w:r>
        <w:t>- количество проведенных мероприятий соответствует отчету об исполнении муниципального задания;</w:t>
      </w:r>
    </w:p>
    <w:p w:rsidR="00ED213E" w:rsidRDefault="00ED213E" w:rsidP="00ED213E">
      <w:pPr>
        <w:ind w:firstLine="709"/>
        <w:jc w:val="both"/>
      </w:pPr>
      <w:r>
        <w:t>- фото-отчеты есть не по всем проведенным мероприятиям, поэтому подтвердить количество участников мероприятий не представляется возможным.</w:t>
      </w:r>
    </w:p>
    <w:p w:rsidR="00ED213E" w:rsidRDefault="00ED213E" w:rsidP="00ED213E">
      <w:pPr>
        <w:ind w:firstLine="709"/>
        <w:jc w:val="both"/>
      </w:pPr>
      <w:r>
        <w:t>4.</w:t>
      </w:r>
      <w:r w:rsidRPr="00405333">
        <w:t xml:space="preserve"> </w:t>
      </w:r>
      <w:r>
        <w:t>Участниками мероприятий за проверяемый период в Книге жалоб и предложений выразили свое мнение в форме:</w:t>
      </w:r>
    </w:p>
    <w:p w:rsidR="00ED213E" w:rsidRDefault="00ED213E" w:rsidP="00ED213E">
      <w:pPr>
        <w:ind w:firstLine="709"/>
        <w:jc w:val="both"/>
      </w:pPr>
      <w:r>
        <w:t>- 64 благодарности за услуги предоставляемые Учреждением;</w:t>
      </w:r>
    </w:p>
    <w:p w:rsidR="00ED213E" w:rsidRDefault="00ED213E" w:rsidP="00ED213E">
      <w:pPr>
        <w:ind w:firstLine="709"/>
        <w:jc w:val="both"/>
      </w:pPr>
      <w:r>
        <w:t>-  4 предложения на улучшение качества обслуживания посетителей;</w:t>
      </w:r>
    </w:p>
    <w:p w:rsidR="00ED213E" w:rsidRDefault="00ED213E" w:rsidP="00ED213E">
      <w:pPr>
        <w:ind w:firstLine="709"/>
        <w:jc w:val="both"/>
      </w:pPr>
      <w:r>
        <w:t xml:space="preserve">- 1 жалоба на технический сбой в процессе кинопоказа. </w:t>
      </w:r>
    </w:p>
    <w:p w:rsidR="00ED213E" w:rsidRPr="00405333" w:rsidRDefault="00ED213E" w:rsidP="00ED213E">
      <w:pPr>
        <w:shd w:val="clear" w:color="auto" w:fill="FFFFFF"/>
        <w:ind w:firstLine="709"/>
        <w:jc w:val="both"/>
      </w:pPr>
      <w:r>
        <w:t>5.</w:t>
      </w:r>
      <w:r w:rsidRPr="00405333">
        <w:t xml:space="preserve"> </w:t>
      </w:r>
      <w:r w:rsidRPr="00AF46D2">
        <w:t>Порядок списания подотчетных сумм</w:t>
      </w:r>
      <w:r w:rsidRPr="00405333">
        <w:t>, перечень документов, подтверждающих обоснованность произведенных расходов, не  установлены в рамках формирования учетной политики учреждения.</w:t>
      </w:r>
    </w:p>
    <w:p w:rsidR="00ED213E" w:rsidRPr="00797660" w:rsidRDefault="00ED213E" w:rsidP="00ED213E">
      <w:pPr>
        <w:tabs>
          <w:tab w:val="left" w:pos="960"/>
        </w:tabs>
        <w:ind w:firstLine="709"/>
        <w:jc w:val="both"/>
      </w:pPr>
      <w:r w:rsidRPr="00797660">
        <w:t>6.</w:t>
      </w:r>
      <w:r w:rsidRPr="00797660">
        <w:rPr>
          <w:b/>
        </w:rPr>
        <w:t xml:space="preserve"> </w:t>
      </w:r>
      <w:r w:rsidRPr="00797660">
        <w:t xml:space="preserve">Нарушение </w:t>
      </w:r>
      <w:r>
        <w:t>п.345 П</w:t>
      </w:r>
      <w:r w:rsidRPr="00797660">
        <w:t xml:space="preserve">риказа Министерства финансов РФ от 01.12.2010 года № 157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t xml:space="preserve">и Инструкции по его применению» - </w:t>
      </w:r>
      <w:r w:rsidRPr="00797660">
        <w:t>в части отсутствия учета приобретенной подарочной и сувенирной продукция на забалансовом счете 07 «Награды, призы, кубки и ценные подарки, сувениры";</w:t>
      </w:r>
    </w:p>
    <w:p w:rsidR="00ED213E" w:rsidRPr="002D7463" w:rsidRDefault="00ED213E" w:rsidP="00ED213E">
      <w:pPr>
        <w:ind w:firstLine="709"/>
        <w:jc w:val="both"/>
      </w:pPr>
      <w:r>
        <w:t>7.</w:t>
      </w:r>
      <w:r w:rsidRPr="00797660">
        <w:t xml:space="preserve"> </w:t>
      </w:r>
      <w:r>
        <w:t xml:space="preserve">Неправильное понимание произведенных расходов привело </w:t>
      </w:r>
      <w:r w:rsidRPr="002D7463">
        <w:t xml:space="preserve">к </w:t>
      </w:r>
      <w:r w:rsidRPr="00994481">
        <w:t>не</w:t>
      </w:r>
      <w:r>
        <w:t xml:space="preserve">верному </w:t>
      </w:r>
      <w:r w:rsidRPr="002D7463">
        <w:t>отражению вида расхода в учетном регистре.</w:t>
      </w:r>
    </w:p>
    <w:p w:rsidR="005B08AD" w:rsidRDefault="005B08AD" w:rsidP="007E1281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bCs/>
        </w:rPr>
      </w:pPr>
    </w:p>
    <w:p w:rsidR="00C03866" w:rsidRDefault="00C03866" w:rsidP="007E1281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bCs/>
        </w:rPr>
      </w:pPr>
    </w:p>
    <w:p w:rsidR="00C03866" w:rsidRPr="00993C86" w:rsidRDefault="00C03866" w:rsidP="00C03866">
      <w:pPr>
        <w:tabs>
          <w:tab w:val="left" w:pos="2676"/>
        </w:tabs>
        <w:jc w:val="center"/>
        <w:rPr>
          <w:b/>
          <w:sz w:val="26"/>
          <w:szCs w:val="26"/>
        </w:rPr>
      </w:pPr>
      <w:r w:rsidRPr="00993C86">
        <w:rPr>
          <w:b/>
          <w:sz w:val="26"/>
          <w:szCs w:val="26"/>
        </w:rPr>
        <w:t>Итоговые данные контрольного мероприятия</w:t>
      </w:r>
    </w:p>
    <w:p w:rsidR="00C03866" w:rsidRPr="00993C86" w:rsidRDefault="00C03866" w:rsidP="00C03866">
      <w:pPr>
        <w:tabs>
          <w:tab w:val="left" w:pos="2676"/>
        </w:tabs>
        <w:jc w:val="center"/>
        <w:rPr>
          <w:b/>
          <w:sz w:val="26"/>
          <w:szCs w:val="26"/>
        </w:rPr>
      </w:pPr>
    </w:p>
    <w:p w:rsidR="00C03866" w:rsidRPr="00ED213E" w:rsidRDefault="00C03866" w:rsidP="00C03866">
      <w:pPr>
        <w:tabs>
          <w:tab w:val="left" w:pos="2676"/>
        </w:tabs>
        <w:ind w:firstLine="709"/>
        <w:jc w:val="both"/>
      </w:pPr>
      <w:r w:rsidRPr="00ED213E">
        <w:t xml:space="preserve">Объем проверенных средств составил </w:t>
      </w:r>
      <w:r w:rsidR="00ED213E" w:rsidRPr="00ED213E">
        <w:t>553,2</w:t>
      </w:r>
      <w:r w:rsidRPr="00ED213E">
        <w:t xml:space="preserve"> тыс. рублей.</w:t>
      </w:r>
    </w:p>
    <w:p w:rsidR="00C03866" w:rsidRPr="00ED213E" w:rsidRDefault="00C03866" w:rsidP="00C03866">
      <w:pPr>
        <w:tabs>
          <w:tab w:val="left" w:pos="267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276"/>
        <w:gridCol w:w="2409"/>
        <w:gridCol w:w="1985"/>
      </w:tblGrid>
      <w:tr w:rsidR="00C03866" w:rsidRPr="00ED213E" w:rsidTr="00C56734">
        <w:trPr>
          <w:trHeight w:val="684"/>
        </w:trPr>
        <w:tc>
          <w:tcPr>
            <w:tcW w:w="2093" w:type="dxa"/>
            <w:vMerge w:val="restart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Нарушения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Выявлено финансовых нарушений</w:t>
            </w:r>
          </w:p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(руб.)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03866" w:rsidRPr="00ED213E" w:rsidRDefault="00C03866" w:rsidP="00C56734">
            <w:r w:rsidRPr="00ED213E">
              <w:t>Предложено к устранению финансовых нарушений 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Примечание</w:t>
            </w:r>
          </w:p>
        </w:tc>
      </w:tr>
      <w:tr w:rsidR="00C03866" w:rsidRPr="00ED213E" w:rsidTr="00C56734">
        <w:trPr>
          <w:trHeight w:val="624"/>
        </w:trPr>
        <w:tc>
          <w:tcPr>
            <w:tcW w:w="2093" w:type="dxa"/>
            <w:vMerge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Всего</w:t>
            </w: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03866" w:rsidRPr="00ED213E" w:rsidTr="00C56734">
        <w:trPr>
          <w:trHeight w:val="319"/>
        </w:trPr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1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2</w:t>
            </w: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3</w:t>
            </w: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4</w:t>
            </w: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</w:pPr>
            <w:r w:rsidRPr="00ED213E">
              <w:t>5</w:t>
            </w:r>
          </w:p>
        </w:tc>
      </w:tr>
      <w:tr w:rsidR="00C03866" w:rsidRPr="00ED213E" w:rsidTr="00C56734"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both"/>
            </w:pPr>
            <w:r w:rsidRPr="00ED213E">
              <w:t>При формировании и исполнении бюджетов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03866" w:rsidRPr="00ED213E" w:rsidTr="00C56734"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both"/>
            </w:pPr>
            <w:r w:rsidRPr="00ED213E">
              <w:t>Нецелевое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03866" w:rsidRPr="00ED213E" w:rsidTr="00C56734"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both"/>
            </w:pPr>
            <w:r w:rsidRPr="00ED213E">
              <w:t>Несоответствие принципу результативности и эффективности использования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03866" w:rsidRPr="00ED213E" w:rsidTr="00C56734"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both"/>
            </w:pPr>
            <w:r w:rsidRPr="00ED213E">
              <w:t>Неправомерное использование средств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03866" w:rsidRPr="00ED213E" w:rsidTr="00C56734"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both"/>
            </w:pPr>
            <w:r w:rsidRPr="00ED213E">
              <w:t>В области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03866" w:rsidRPr="00ED213E" w:rsidTr="00C56734"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both"/>
            </w:pPr>
            <w:r w:rsidRPr="00ED213E">
              <w:t>При осуществлении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03866" w:rsidRPr="00ED213E" w:rsidTr="00C56734"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both"/>
            </w:pPr>
            <w:r w:rsidRPr="00ED213E">
              <w:t>При ведении бухгалтерского учета и составлении отчетности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3020DC" w:rsidP="00C56734">
            <w:pPr>
              <w:tabs>
                <w:tab w:val="left" w:pos="2676"/>
              </w:tabs>
              <w:jc w:val="center"/>
              <w:rPr>
                <w:b/>
              </w:rPr>
            </w:pPr>
            <w:r>
              <w:rPr>
                <w:b/>
              </w:rPr>
              <w:t>40792,20</w:t>
            </w: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03866" w:rsidRPr="00ED213E" w:rsidTr="00C56734"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both"/>
            </w:pPr>
            <w:r w:rsidRPr="00ED213E">
              <w:t>Прочие виды нарушений и недостатков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03866" w:rsidRPr="00ED213E" w:rsidTr="00C56734">
        <w:tc>
          <w:tcPr>
            <w:tcW w:w="2093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  <w:r w:rsidRPr="00ED213E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03866" w:rsidRPr="00ED213E" w:rsidRDefault="003020DC" w:rsidP="00C56734">
            <w:pPr>
              <w:tabs>
                <w:tab w:val="left" w:pos="2676"/>
              </w:tabs>
              <w:jc w:val="center"/>
              <w:rPr>
                <w:b/>
              </w:rPr>
            </w:pPr>
            <w:r>
              <w:rPr>
                <w:b/>
              </w:rPr>
              <w:t>40792,20</w:t>
            </w:r>
          </w:p>
        </w:tc>
        <w:tc>
          <w:tcPr>
            <w:tcW w:w="1276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866" w:rsidRPr="00ED213E" w:rsidRDefault="00C03866" w:rsidP="00C56734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</w:tbl>
    <w:p w:rsidR="00C03866" w:rsidRPr="000531FB" w:rsidRDefault="00C03866" w:rsidP="00C03866">
      <w:pPr>
        <w:tabs>
          <w:tab w:val="left" w:pos="2676"/>
        </w:tabs>
        <w:jc w:val="both"/>
        <w:rPr>
          <w:b/>
        </w:rPr>
      </w:pPr>
    </w:p>
    <w:p w:rsidR="00C03866" w:rsidRPr="000D09D9" w:rsidRDefault="00C03866" w:rsidP="00C03866">
      <w:pPr>
        <w:tabs>
          <w:tab w:val="left" w:pos="2676"/>
        </w:tabs>
        <w:jc w:val="both"/>
        <w:rPr>
          <w:b/>
        </w:rPr>
      </w:pPr>
      <w:r w:rsidRPr="000D09D9">
        <w:rPr>
          <w:b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3020DC" w:rsidRPr="000D09D9">
        <w:rPr>
          <w:b/>
        </w:rPr>
        <w:t xml:space="preserve"> нет</w:t>
      </w:r>
    </w:p>
    <w:p w:rsidR="003020DC" w:rsidRPr="000D09D9" w:rsidRDefault="003020DC" w:rsidP="00C03866">
      <w:pPr>
        <w:tabs>
          <w:tab w:val="left" w:pos="2676"/>
        </w:tabs>
        <w:jc w:val="both"/>
        <w:rPr>
          <w:b/>
        </w:rPr>
      </w:pPr>
    </w:p>
    <w:p w:rsidR="00C03866" w:rsidRPr="000D09D9" w:rsidRDefault="000D09D9" w:rsidP="00C03866">
      <w:pPr>
        <w:tabs>
          <w:tab w:val="left" w:pos="2676"/>
        </w:tabs>
        <w:jc w:val="both"/>
        <w:rPr>
          <w:b/>
        </w:rPr>
      </w:pPr>
      <w:r>
        <w:rPr>
          <w:b/>
        </w:rPr>
        <w:t>П</w:t>
      </w:r>
      <w:r w:rsidR="00C03866" w:rsidRPr="000D09D9">
        <w:rPr>
          <w:b/>
        </w:rPr>
        <w:t>редложения:</w:t>
      </w:r>
    </w:p>
    <w:p w:rsidR="00C03866" w:rsidRDefault="003020DC" w:rsidP="000D09D9">
      <w:pPr>
        <w:tabs>
          <w:tab w:val="left" w:pos="960"/>
        </w:tabs>
        <w:ind w:firstLine="709"/>
        <w:jc w:val="both"/>
      </w:pPr>
      <w:r w:rsidRPr="000D09D9">
        <w:t>1</w:t>
      </w:r>
      <w:r w:rsidR="00C03866" w:rsidRPr="000D09D9">
        <w:t xml:space="preserve">) Осуществлять ведение бухгалтерского учета в соответствии с требованиями Федерального закона РФ от 06.12.2011 года № </w:t>
      </w:r>
      <w:r w:rsidR="000D09D9" w:rsidRPr="000D09D9">
        <w:t xml:space="preserve">402 –ФЗ «О бухгалтерском учете», </w:t>
      </w:r>
      <w:r w:rsidRPr="000D09D9">
        <w:t>Приказ</w:t>
      </w:r>
      <w:r w:rsidR="000D09D9" w:rsidRPr="000D09D9">
        <w:t>ом</w:t>
      </w:r>
      <w:r w:rsidRPr="000D09D9">
        <w:t xml:space="preserve"> Минфина России от 01.12.2010 N 157н (ред. от 16.11.2016)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r w:rsidRPr="00354F09">
        <w:t xml:space="preserve"> академий наук, государственных (муниципальных) учреждений и Инструкции по его применению"</w:t>
      </w:r>
      <w:r w:rsidR="000D09D9">
        <w:t>.</w:t>
      </w:r>
    </w:p>
    <w:p w:rsidR="00A90A2C" w:rsidRDefault="00A90A2C" w:rsidP="00C03866">
      <w:pPr>
        <w:tabs>
          <w:tab w:val="left" w:pos="2676"/>
        </w:tabs>
        <w:jc w:val="both"/>
        <w:rPr>
          <w:b/>
        </w:rPr>
      </w:pPr>
    </w:p>
    <w:p w:rsidR="00C03866" w:rsidRPr="000D09D9" w:rsidRDefault="00C03866" w:rsidP="00C03866">
      <w:pPr>
        <w:tabs>
          <w:tab w:val="left" w:pos="2676"/>
        </w:tabs>
        <w:jc w:val="both"/>
        <w:rPr>
          <w:b/>
        </w:rPr>
      </w:pPr>
      <w:r w:rsidRPr="000D09D9">
        <w:rPr>
          <w:b/>
        </w:rPr>
        <w:t>Направить отчет:</w:t>
      </w:r>
    </w:p>
    <w:p w:rsidR="00C03866" w:rsidRPr="000D09D9" w:rsidRDefault="00C03866" w:rsidP="00C03866">
      <w:pPr>
        <w:tabs>
          <w:tab w:val="left" w:pos="2676"/>
        </w:tabs>
        <w:jc w:val="both"/>
        <w:rPr>
          <w:b/>
        </w:rPr>
      </w:pPr>
      <w:r w:rsidRPr="000D09D9">
        <w:t>Главе Сегежского муниципального района</w:t>
      </w:r>
      <w:r w:rsidR="000D09D9">
        <w:t>;</w:t>
      </w:r>
    </w:p>
    <w:p w:rsidR="00C03866" w:rsidRPr="000D09D9" w:rsidRDefault="00C03866" w:rsidP="00C03866">
      <w:pPr>
        <w:tabs>
          <w:tab w:val="left" w:pos="2676"/>
        </w:tabs>
        <w:jc w:val="both"/>
      </w:pPr>
      <w:r w:rsidRPr="000D09D9">
        <w:t>Главе администрации Сегежского городского поселения</w:t>
      </w:r>
      <w:r w:rsidR="000D09D9">
        <w:t>;</w:t>
      </w:r>
    </w:p>
    <w:p w:rsidR="00C03866" w:rsidRPr="000D09D9" w:rsidRDefault="00C03866" w:rsidP="00C03866">
      <w:pPr>
        <w:tabs>
          <w:tab w:val="left" w:pos="2676"/>
        </w:tabs>
        <w:jc w:val="both"/>
      </w:pPr>
      <w:r w:rsidRPr="000D09D9">
        <w:t>Прокурору Сегежского района.</w:t>
      </w:r>
    </w:p>
    <w:p w:rsidR="00C03866" w:rsidRPr="000D09D9" w:rsidRDefault="00C03866" w:rsidP="00C03866">
      <w:pPr>
        <w:tabs>
          <w:tab w:val="left" w:pos="2676"/>
        </w:tabs>
        <w:jc w:val="both"/>
      </w:pPr>
    </w:p>
    <w:p w:rsidR="000D09D9" w:rsidRPr="000D09D9" w:rsidRDefault="00C03866" w:rsidP="000D09D9">
      <w:pPr>
        <w:jc w:val="both"/>
      </w:pPr>
      <w:r w:rsidRPr="000D09D9">
        <w:rPr>
          <w:b/>
        </w:rPr>
        <w:t xml:space="preserve">Предлагаемые представления и /или предписания: </w:t>
      </w:r>
      <w:r w:rsidR="000D09D9" w:rsidRPr="000D09D9">
        <w:t>Предписание по результатам проведенной плановой проверки не выдавать.</w:t>
      </w:r>
    </w:p>
    <w:p w:rsidR="00C03866" w:rsidRPr="00993C86" w:rsidRDefault="00C03866" w:rsidP="00C03866">
      <w:pPr>
        <w:tabs>
          <w:tab w:val="left" w:pos="2676"/>
        </w:tabs>
        <w:jc w:val="both"/>
        <w:rPr>
          <w:sz w:val="26"/>
          <w:szCs w:val="26"/>
        </w:rPr>
      </w:pPr>
    </w:p>
    <w:p w:rsidR="00C03866" w:rsidRDefault="00C03866" w:rsidP="00C03866">
      <w:pPr>
        <w:tabs>
          <w:tab w:val="left" w:pos="2676"/>
        </w:tabs>
        <w:jc w:val="both"/>
        <w:rPr>
          <w:b/>
          <w:sz w:val="26"/>
          <w:szCs w:val="26"/>
        </w:rPr>
      </w:pPr>
    </w:p>
    <w:p w:rsidR="00C03866" w:rsidRPr="00993C86" w:rsidRDefault="00C03866" w:rsidP="00C03866">
      <w:pPr>
        <w:tabs>
          <w:tab w:val="left" w:pos="2676"/>
        </w:tabs>
        <w:jc w:val="both"/>
        <w:rPr>
          <w:b/>
          <w:sz w:val="26"/>
          <w:szCs w:val="26"/>
        </w:rPr>
      </w:pPr>
    </w:p>
    <w:p w:rsidR="00C03866" w:rsidRPr="000D09D9" w:rsidRDefault="00C03866" w:rsidP="00C03866">
      <w:r w:rsidRPr="000D09D9">
        <w:t xml:space="preserve">Председатель Контрольно-счетного комитета </w:t>
      </w:r>
    </w:p>
    <w:p w:rsidR="00C03866" w:rsidRPr="000D09D9" w:rsidRDefault="00C03866" w:rsidP="00C03866">
      <w:r w:rsidRPr="000D09D9">
        <w:t xml:space="preserve">Сегежского муниципального района                                          </w:t>
      </w:r>
      <w:r w:rsidR="000D09D9">
        <w:t xml:space="preserve">             </w:t>
      </w:r>
      <w:r w:rsidRPr="000D09D9">
        <w:t xml:space="preserve">               Т.Рудковская</w:t>
      </w:r>
    </w:p>
    <w:p w:rsidR="00C03866" w:rsidRPr="000D09D9" w:rsidRDefault="00C03866" w:rsidP="007E1281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bCs/>
        </w:rPr>
      </w:pPr>
    </w:p>
    <w:p w:rsidR="005B08AD" w:rsidRPr="000D09D9" w:rsidRDefault="005B08AD" w:rsidP="007E1281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bCs/>
        </w:rPr>
      </w:pPr>
    </w:p>
    <w:p w:rsidR="005B08AD" w:rsidRDefault="005B08AD" w:rsidP="007E1281">
      <w:pPr>
        <w:tabs>
          <w:tab w:val="left" w:pos="2676"/>
        </w:tabs>
        <w:autoSpaceDE w:val="0"/>
        <w:autoSpaceDN w:val="0"/>
        <w:adjustRightInd w:val="0"/>
        <w:jc w:val="both"/>
        <w:rPr>
          <w:b/>
          <w:bCs/>
        </w:rPr>
      </w:pPr>
    </w:p>
    <w:p w:rsidR="00462C4A" w:rsidRPr="006A4602" w:rsidRDefault="00462C4A" w:rsidP="00B07768"/>
    <w:p w:rsidR="00462C4A" w:rsidRPr="006A4602" w:rsidRDefault="00462C4A" w:rsidP="00B07768"/>
    <w:p w:rsidR="002A1C9D" w:rsidRPr="00621E9B" w:rsidRDefault="002A1C9D" w:rsidP="00B07768">
      <w:r w:rsidRPr="00621E9B">
        <w:t xml:space="preserve">  </w:t>
      </w:r>
    </w:p>
    <w:sectPr w:rsidR="002A1C9D" w:rsidRPr="00621E9B" w:rsidSect="003D2E0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68" w:rsidRDefault="00271168" w:rsidP="00912AA4">
      <w:r>
        <w:separator/>
      </w:r>
    </w:p>
  </w:endnote>
  <w:endnote w:type="continuationSeparator" w:id="0">
    <w:p w:rsidR="00271168" w:rsidRDefault="00271168" w:rsidP="0091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68" w:rsidRDefault="00271168" w:rsidP="00912AA4">
      <w:r>
        <w:separator/>
      </w:r>
    </w:p>
  </w:footnote>
  <w:footnote w:type="continuationSeparator" w:id="0">
    <w:p w:rsidR="00271168" w:rsidRDefault="00271168" w:rsidP="00912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75205"/>
      <w:docPartObj>
        <w:docPartGallery w:val="Page Numbers (Top of Page)"/>
        <w:docPartUnique/>
      </w:docPartObj>
    </w:sdtPr>
    <w:sdtContent>
      <w:p w:rsidR="002A7C53" w:rsidRDefault="003F704F">
        <w:pPr>
          <w:pStyle w:val="a9"/>
          <w:jc w:val="center"/>
        </w:pPr>
        <w:fldSimple w:instr=" PAGE   \* MERGEFORMAT ">
          <w:r w:rsidR="00271168">
            <w:rPr>
              <w:noProof/>
            </w:rPr>
            <w:t>1</w:t>
          </w:r>
        </w:fldSimple>
      </w:p>
    </w:sdtContent>
  </w:sdt>
  <w:p w:rsidR="001C6250" w:rsidRDefault="001C62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7AA6E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FA6D3B"/>
    <w:multiLevelType w:val="singleLevel"/>
    <w:tmpl w:val="80F482C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7835E70"/>
    <w:multiLevelType w:val="hybridMultilevel"/>
    <w:tmpl w:val="EC80A8F4"/>
    <w:lvl w:ilvl="0" w:tplc="EBC2F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30E5E"/>
    <w:multiLevelType w:val="hybridMultilevel"/>
    <w:tmpl w:val="2494C88E"/>
    <w:lvl w:ilvl="0" w:tplc="1EBEC5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80002"/>
    <w:multiLevelType w:val="multilevel"/>
    <w:tmpl w:val="B3F42CF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0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4755EF"/>
    <w:multiLevelType w:val="hybridMultilevel"/>
    <w:tmpl w:val="0C6C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71551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2E5906"/>
    <w:multiLevelType w:val="singleLevel"/>
    <w:tmpl w:val="30220D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BBD6562"/>
    <w:multiLevelType w:val="hybridMultilevel"/>
    <w:tmpl w:val="1A56B6BA"/>
    <w:lvl w:ilvl="0" w:tplc="82C89C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7F62"/>
    <w:multiLevelType w:val="singleLevel"/>
    <w:tmpl w:val="30220D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8586DF4"/>
    <w:multiLevelType w:val="hybridMultilevel"/>
    <w:tmpl w:val="633EDE5A"/>
    <w:lvl w:ilvl="0" w:tplc="C906628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6372F0"/>
    <w:multiLevelType w:val="hybridMultilevel"/>
    <w:tmpl w:val="CCA67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444B1"/>
    <w:multiLevelType w:val="multilevel"/>
    <w:tmpl w:val="F2B0F3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2DD16E3"/>
    <w:multiLevelType w:val="hybridMultilevel"/>
    <w:tmpl w:val="C4EE6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7050"/>
    <w:multiLevelType w:val="hybridMultilevel"/>
    <w:tmpl w:val="E7D6A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66DC7"/>
    <w:multiLevelType w:val="hybridMultilevel"/>
    <w:tmpl w:val="077ECF70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93CD5"/>
    <w:multiLevelType w:val="singleLevel"/>
    <w:tmpl w:val="80F482C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0204673"/>
    <w:multiLevelType w:val="hybridMultilevel"/>
    <w:tmpl w:val="EE5264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6"/>
  </w:num>
  <w:num w:numId="8">
    <w:abstractNumId w:val="1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6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6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6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  <w:num w:numId="17">
    <w:abstractNumId w:val="9"/>
  </w:num>
  <w:num w:numId="18">
    <w:abstractNumId w:val="2"/>
  </w:num>
  <w:num w:numId="19">
    <w:abstractNumId w:val="8"/>
  </w:num>
  <w:num w:numId="20">
    <w:abstractNumId w:val="13"/>
  </w:num>
  <w:num w:numId="21">
    <w:abstractNumId w:val="0"/>
  </w:num>
  <w:num w:numId="22">
    <w:abstractNumId w:val="17"/>
  </w:num>
  <w:num w:numId="23">
    <w:abstractNumId w:val="12"/>
  </w:num>
  <w:num w:numId="24">
    <w:abstractNumId w:val="15"/>
  </w:num>
  <w:num w:numId="25">
    <w:abstractNumId w:val="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4B14"/>
    <w:rsid w:val="000009B0"/>
    <w:rsid w:val="00027B03"/>
    <w:rsid w:val="00050CFF"/>
    <w:rsid w:val="00053206"/>
    <w:rsid w:val="00080A69"/>
    <w:rsid w:val="0008296D"/>
    <w:rsid w:val="000844D6"/>
    <w:rsid w:val="00093FDE"/>
    <w:rsid w:val="000A5182"/>
    <w:rsid w:val="000B29AD"/>
    <w:rsid w:val="000B76A1"/>
    <w:rsid w:val="000D09D9"/>
    <w:rsid w:val="000D0EB8"/>
    <w:rsid w:val="000D5A57"/>
    <w:rsid w:val="000E2625"/>
    <w:rsid w:val="00105CD6"/>
    <w:rsid w:val="0012357C"/>
    <w:rsid w:val="00131672"/>
    <w:rsid w:val="00143558"/>
    <w:rsid w:val="0015112C"/>
    <w:rsid w:val="00156E95"/>
    <w:rsid w:val="00157299"/>
    <w:rsid w:val="001607DC"/>
    <w:rsid w:val="001655BE"/>
    <w:rsid w:val="001724FA"/>
    <w:rsid w:val="001A31A8"/>
    <w:rsid w:val="001C6250"/>
    <w:rsid w:val="001D60C3"/>
    <w:rsid w:val="001F65F8"/>
    <w:rsid w:val="00202EF2"/>
    <w:rsid w:val="002078FF"/>
    <w:rsid w:val="00214453"/>
    <w:rsid w:val="00214F89"/>
    <w:rsid w:val="002245BF"/>
    <w:rsid w:val="002578AD"/>
    <w:rsid w:val="00271168"/>
    <w:rsid w:val="00271E3E"/>
    <w:rsid w:val="00273EDC"/>
    <w:rsid w:val="00293644"/>
    <w:rsid w:val="0029685C"/>
    <w:rsid w:val="00296EC5"/>
    <w:rsid w:val="002A1C9D"/>
    <w:rsid w:val="002A26CB"/>
    <w:rsid w:val="002A7C53"/>
    <w:rsid w:val="002C5B72"/>
    <w:rsid w:val="002D140A"/>
    <w:rsid w:val="002D1698"/>
    <w:rsid w:val="002D1BB7"/>
    <w:rsid w:val="002D52A7"/>
    <w:rsid w:val="002E6879"/>
    <w:rsid w:val="002F7359"/>
    <w:rsid w:val="00300733"/>
    <w:rsid w:val="003020DC"/>
    <w:rsid w:val="003265B6"/>
    <w:rsid w:val="00331A06"/>
    <w:rsid w:val="0033364C"/>
    <w:rsid w:val="00347B22"/>
    <w:rsid w:val="003638B4"/>
    <w:rsid w:val="00384418"/>
    <w:rsid w:val="00385420"/>
    <w:rsid w:val="003A4549"/>
    <w:rsid w:val="003C506A"/>
    <w:rsid w:val="003D2E03"/>
    <w:rsid w:val="003E3C4C"/>
    <w:rsid w:val="003E411B"/>
    <w:rsid w:val="003F175C"/>
    <w:rsid w:val="003F704F"/>
    <w:rsid w:val="00421338"/>
    <w:rsid w:val="00421588"/>
    <w:rsid w:val="00421A2B"/>
    <w:rsid w:val="004410AD"/>
    <w:rsid w:val="00450959"/>
    <w:rsid w:val="00457160"/>
    <w:rsid w:val="00460E31"/>
    <w:rsid w:val="00462C4A"/>
    <w:rsid w:val="00477889"/>
    <w:rsid w:val="004927F7"/>
    <w:rsid w:val="00492BDE"/>
    <w:rsid w:val="004B1AED"/>
    <w:rsid w:val="004E578F"/>
    <w:rsid w:val="004F3345"/>
    <w:rsid w:val="004F6455"/>
    <w:rsid w:val="00506435"/>
    <w:rsid w:val="00506D8F"/>
    <w:rsid w:val="00542ED5"/>
    <w:rsid w:val="005555D9"/>
    <w:rsid w:val="005557D4"/>
    <w:rsid w:val="00564802"/>
    <w:rsid w:val="0057639C"/>
    <w:rsid w:val="00582CDB"/>
    <w:rsid w:val="00587749"/>
    <w:rsid w:val="005B08AD"/>
    <w:rsid w:val="005B75DC"/>
    <w:rsid w:val="005C785C"/>
    <w:rsid w:val="005F4C9F"/>
    <w:rsid w:val="005F663E"/>
    <w:rsid w:val="00601896"/>
    <w:rsid w:val="00610311"/>
    <w:rsid w:val="00617EC7"/>
    <w:rsid w:val="00621E9B"/>
    <w:rsid w:val="006269DF"/>
    <w:rsid w:val="006438D6"/>
    <w:rsid w:val="00644F8C"/>
    <w:rsid w:val="00646046"/>
    <w:rsid w:val="006600E2"/>
    <w:rsid w:val="00664CA1"/>
    <w:rsid w:val="00673BD6"/>
    <w:rsid w:val="00673C72"/>
    <w:rsid w:val="006747A3"/>
    <w:rsid w:val="00676631"/>
    <w:rsid w:val="00695248"/>
    <w:rsid w:val="006A1133"/>
    <w:rsid w:val="006A4602"/>
    <w:rsid w:val="006A6FFE"/>
    <w:rsid w:val="006B52DB"/>
    <w:rsid w:val="006B78F0"/>
    <w:rsid w:val="006D6FBF"/>
    <w:rsid w:val="006E4DFA"/>
    <w:rsid w:val="006E7BA4"/>
    <w:rsid w:val="006F4C2E"/>
    <w:rsid w:val="00701CC1"/>
    <w:rsid w:val="00721C5D"/>
    <w:rsid w:val="00722C48"/>
    <w:rsid w:val="00727679"/>
    <w:rsid w:val="00735331"/>
    <w:rsid w:val="007554E2"/>
    <w:rsid w:val="00761560"/>
    <w:rsid w:val="00761EDE"/>
    <w:rsid w:val="00762683"/>
    <w:rsid w:val="00772AD2"/>
    <w:rsid w:val="00772CBC"/>
    <w:rsid w:val="00780EB7"/>
    <w:rsid w:val="00792682"/>
    <w:rsid w:val="007A246C"/>
    <w:rsid w:val="007A3B31"/>
    <w:rsid w:val="007B2F08"/>
    <w:rsid w:val="007E0DC7"/>
    <w:rsid w:val="007E1281"/>
    <w:rsid w:val="007F4B14"/>
    <w:rsid w:val="00834C4E"/>
    <w:rsid w:val="00863534"/>
    <w:rsid w:val="00865454"/>
    <w:rsid w:val="008739BE"/>
    <w:rsid w:val="00874BB0"/>
    <w:rsid w:val="00874C0E"/>
    <w:rsid w:val="00880566"/>
    <w:rsid w:val="008B627A"/>
    <w:rsid w:val="008C2C16"/>
    <w:rsid w:val="008D7365"/>
    <w:rsid w:val="008F21B5"/>
    <w:rsid w:val="008F2339"/>
    <w:rsid w:val="008F48F0"/>
    <w:rsid w:val="0090049F"/>
    <w:rsid w:val="00904B6C"/>
    <w:rsid w:val="009065AA"/>
    <w:rsid w:val="00912AA4"/>
    <w:rsid w:val="00913166"/>
    <w:rsid w:val="00922985"/>
    <w:rsid w:val="00922AC6"/>
    <w:rsid w:val="0093559E"/>
    <w:rsid w:val="00940C26"/>
    <w:rsid w:val="009539C2"/>
    <w:rsid w:val="00954C15"/>
    <w:rsid w:val="00956D5F"/>
    <w:rsid w:val="0096626B"/>
    <w:rsid w:val="009729B5"/>
    <w:rsid w:val="00980E1E"/>
    <w:rsid w:val="00986DEB"/>
    <w:rsid w:val="0098776F"/>
    <w:rsid w:val="009A53A9"/>
    <w:rsid w:val="009B3CDE"/>
    <w:rsid w:val="009C5A48"/>
    <w:rsid w:val="009D04CB"/>
    <w:rsid w:val="009E2110"/>
    <w:rsid w:val="009E21F0"/>
    <w:rsid w:val="009E4E30"/>
    <w:rsid w:val="009F4F6C"/>
    <w:rsid w:val="009F72EE"/>
    <w:rsid w:val="00A140A1"/>
    <w:rsid w:val="00A20A4C"/>
    <w:rsid w:val="00A308F6"/>
    <w:rsid w:val="00A343A8"/>
    <w:rsid w:val="00A50CD3"/>
    <w:rsid w:val="00A52456"/>
    <w:rsid w:val="00A67C6E"/>
    <w:rsid w:val="00A72237"/>
    <w:rsid w:val="00A9046A"/>
    <w:rsid w:val="00A90A2C"/>
    <w:rsid w:val="00AA1CE1"/>
    <w:rsid w:val="00AA5EC7"/>
    <w:rsid w:val="00AB298B"/>
    <w:rsid w:val="00AB390A"/>
    <w:rsid w:val="00AC6625"/>
    <w:rsid w:val="00B07768"/>
    <w:rsid w:val="00B11DEE"/>
    <w:rsid w:val="00B14EA9"/>
    <w:rsid w:val="00B155F0"/>
    <w:rsid w:val="00B16A6B"/>
    <w:rsid w:val="00B3044A"/>
    <w:rsid w:val="00B35408"/>
    <w:rsid w:val="00B57705"/>
    <w:rsid w:val="00B831A4"/>
    <w:rsid w:val="00B916BF"/>
    <w:rsid w:val="00BA1894"/>
    <w:rsid w:val="00BC12C7"/>
    <w:rsid w:val="00BC6CD4"/>
    <w:rsid w:val="00BC7C54"/>
    <w:rsid w:val="00BD15AB"/>
    <w:rsid w:val="00BD1F74"/>
    <w:rsid w:val="00BD5177"/>
    <w:rsid w:val="00BD5D18"/>
    <w:rsid w:val="00BD775D"/>
    <w:rsid w:val="00BE032C"/>
    <w:rsid w:val="00BE44FA"/>
    <w:rsid w:val="00C03866"/>
    <w:rsid w:val="00C1596B"/>
    <w:rsid w:val="00C17FB8"/>
    <w:rsid w:val="00C2289E"/>
    <w:rsid w:val="00C23275"/>
    <w:rsid w:val="00C24ED7"/>
    <w:rsid w:val="00C30475"/>
    <w:rsid w:val="00C31942"/>
    <w:rsid w:val="00C35E20"/>
    <w:rsid w:val="00C45AC1"/>
    <w:rsid w:val="00C53B0D"/>
    <w:rsid w:val="00C55899"/>
    <w:rsid w:val="00C60F8E"/>
    <w:rsid w:val="00C632B1"/>
    <w:rsid w:val="00C77BFE"/>
    <w:rsid w:val="00C92156"/>
    <w:rsid w:val="00CB3790"/>
    <w:rsid w:val="00CB686F"/>
    <w:rsid w:val="00CE73E1"/>
    <w:rsid w:val="00CE7D3F"/>
    <w:rsid w:val="00D01BEC"/>
    <w:rsid w:val="00D11179"/>
    <w:rsid w:val="00D41569"/>
    <w:rsid w:val="00D42C56"/>
    <w:rsid w:val="00D43077"/>
    <w:rsid w:val="00D54223"/>
    <w:rsid w:val="00D542A7"/>
    <w:rsid w:val="00D54C7A"/>
    <w:rsid w:val="00D661C6"/>
    <w:rsid w:val="00D703A5"/>
    <w:rsid w:val="00D73263"/>
    <w:rsid w:val="00D90128"/>
    <w:rsid w:val="00D9314F"/>
    <w:rsid w:val="00D93B0C"/>
    <w:rsid w:val="00D9660E"/>
    <w:rsid w:val="00DB5375"/>
    <w:rsid w:val="00DC61E0"/>
    <w:rsid w:val="00DC725B"/>
    <w:rsid w:val="00DE6A90"/>
    <w:rsid w:val="00DF4631"/>
    <w:rsid w:val="00E068C3"/>
    <w:rsid w:val="00E27BC7"/>
    <w:rsid w:val="00E35BAE"/>
    <w:rsid w:val="00E37047"/>
    <w:rsid w:val="00E43E67"/>
    <w:rsid w:val="00E5574B"/>
    <w:rsid w:val="00E6132C"/>
    <w:rsid w:val="00E71F2F"/>
    <w:rsid w:val="00E7211F"/>
    <w:rsid w:val="00E83E8A"/>
    <w:rsid w:val="00E86043"/>
    <w:rsid w:val="00EC1063"/>
    <w:rsid w:val="00EC16E7"/>
    <w:rsid w:val="00ED213E"/>
    <w:rsid w:val="00EE65A3"/>
    <w:rsid w:val="00EE65A6"/>
    <w:rsid w:val="00EF6448"/>
    <w:rsid w:val="00F00DC3"/>
    <w:rsid w:val="00F015CA"/>
    <w:rsid w:val="00F0579C"/>
    <w:rsid w:val="00F449B3"/>
    <w:rsid w:val="00F46BC6"/>
    <w:rsid w:val="00F5257E"/>
    <w:rsid w:val="00F57E47"/>
    <w:rsid w:val="00F82361"/>
    <w:rsid w:val="00F85800"/>
    <w:rsid w:val="00F950F5"/>
    <w:rsid w:val="00FA6FC2"/>
    <w:rsid w:val="00FC3F6F"/>
    <w:rsid w:val="00FD1DA5"/>
    <w:rsid w:val="00FD5F91"/>
    <w:rsid w:val="00FE34FC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A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F4B1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7F4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B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B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2A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2A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2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E27BC7"/>
    <w:rPr>
      <w:b/>
      <w:bCs/>
      <w:color w:val="106BBE"/>
    </w:rPr>
  </w:style>
  <w:style w:type="paragraph" w:styleId="ae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"/>
    <w:uiPriority w:val="99"/>
    <w:rsid w:val="00BA1894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e"/>
    <w:uiPriority w:val="99"/>
    <w:rsid w:val="00BA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A1894"/>
    <w:pPr>
      <w:ind w:left="720"/>
      <w:contextualSpacing/>
    </w:pPr>
  </w:style>
  <w:style w:type="paragraph" w:styleId="30">
    <w:name w:val="Body Text Indent 3"/>
    <w:basedOn w:val="a"/>
    <w:link w:val="31"/>
    <w:unhideWhenUsed/>
    <w:rsid w:val="00BA189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BA189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A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A1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A1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28">
    <w:name w:val="Font Style28"/>
    <w:rsid w:val="00BA1894"/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293644"/>
    <w:pPr>
      <w:spacing w:before="100" w:beforeAutospacing="1" w:after="100" w:afterAutospacing="1"/>
    </w:pPr>
  </w:style>
  <w:style w:type="character" w:customStyle="1" w:styleId="rec">
    <w:name w:val="rec"/>
    <w:rsid w:val="00293644"/>
  </w:style>
  <w:style w:type="character" w:customStyle="1" w:styleId="blk3">
    <w:name w:val="blk3"/>
    <w:basedOn w:val="a0"/>
    <w:rsid w:val="00293644"/>
    <w:rPr>
      <w:vanish w:val="0"/>
      <w:webHidden w:val="0"/>
      <w:specVanish w:val="0"/>
    </w:rPr>
  </w:style>
  <w:style w:type="paragraph" w:customStyle="1" w:styleId="af2">
    <w:name w:val="Заголовок статьи"/>
    <w:basedOn w:val="a"/>
    <w:next w:val="a"/>
    <w:uiPriority w:val="99"/>
    <w:rsid w:val="00D54C7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qFormat/>
    <w:rsid w:val="00D54C7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"/>
    <w:rsid w:val="00D54C7A"/>
    <w:pPr>
      <w:spacing w:before="100" w:beforeAutospacing="1" w:after="100" w:afterAutospacing="1"/>
    </w:pPr>
  </w:style>
  <w:style w:type="paragraph" w:styleId="21">
    <w:name w:val="List 2"/>
    <w:basedOn w:val="a"/>
    <w:semiHidden/>
    <w:unhideWhenUsed/>
    <w:rsid w:val="00A50CD3"/>
    <w:pPr>
      <w:ind w:left="566" w:hanging="283"/>
    </w:pPr>
  </w:style>
  <w:style w:type="paragraph" w:styleId="3">
    <w:name w:val="List Bullet 3"/>
    <w:basedOn w:val="a"/>
    <w:unhideWhenUsed/>
    <w:rsid w:val="00A50CD3"/>
    <w:pPr>
      <w:numPr>
        <w:numId w:val="21"/>
      </w:numPr>
    </w:pPr>
  </w:style>
  <w:style w:type="character" w:customStyle="1" w:styleId="w">
    <w:name w:val="w"/>
    <w:basedOn w:val="a0"/>
    <w:rsid w:val="00A50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7D31CD6FA94DFD8F36B8BCC7F8424ACD3DB00E398AA46ACC561C86B654C0B52016D32844C013895EC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7D31CD6FA94DFD8F36B8BCC7F8424ACD3DB00E398AA46ACC561C86B654C0B52016D32844C010805EC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7D31CD6FA94DFD8F36B8BCC7F8424ACD3DB00E398AA46ACC561C86B654C0B52016D32844C0178E5EC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D31CD6FA94DFD8F36B8BCC7F8424ACD3DB00E398AA46ACC561C86B654C0B52016D32844C017885EC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999B-6EED-4F44-BE38-8EC3709F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2018-04-11T07:49:00Z</cp:lastPrinted>
  <dcterms:created xsi:type="dcterms:W3CDTF">2018-05-10T13:37:00Z</dcterms:created>
  <dcterms:modified xsi:type="dcterms:W3CDTF">2018-05-10T13:37:00Z</dcterms:modified>
</cp:coreProperties>
</file>